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pict>
          <v:shape id="configXml" o:spid="_x0000_s1025" o:spt="202" type="#_x0000_t202" style="position:absolute;left:0pt;margin-left:0pt;margin-top:0pt;height:0pt;width:0pt;z-index:251659264;mso-width-relative:page;mso-height-relative:page;" fillcolor="#FFFFFF" filled="t" stroked="t" coordsize="21600,21600">
            <v:path/>
            <v:fill on="t" focussize="0,0"/>
            <v:stroke joinstyle="miter"/>
            <v:imagedata o:title=""/>
            <o:lock v:ext="edit" aspectratio="f"/>
            <v:textbox>
              <w:txbxContent>
                <w:p>
                  <w:r>
                    <w:t xml:space="preserve">&lt;?xml version="1.0" encoding="UTF-8"?&gt; &lt;officereport&gt; &lt;options&gt;&lt;![CDATA[this-reportid=EANA$2$5$1$2c3027766c124e86894962c1a5169db5$fe10fa36700143208f95aca2a1cd516b.doc;name=B61000;decimallen=2;caption=恒丰银行定期报告;groupnum=false;viewtype=0;displaylayout=0;id=2c3027766c124e86894962c1a5169db5]]&gt;&lt;/options&gt; &lt;/officereport&gt; </w:t>
                  </w:r>
                </w:p>
              </w:txbxContent>
            </v:textbox>
          </v:shape>
        </w:pic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黑体" w:hAnsi="黑体" w:eastAsia="黑体" w:cs="黑体"/>
          <w:b/>
          <w:kern w:val="2"/>
          <w:sz w:val="36"/>
          <w:szCs w:val="36"/>
          <w:lang w:val="en-US" w:eastAsia="zh-CN" w:bidi="ar-SA"/>
        </w:rPr>
      </w:pPr>
      <w:r>
        <w:rPr>
          <w:rFonts w:hint="eastAsia" w:ascii="黑体" w:hAnsi="黑体" w:eastAsia="黑体" w:cs="黑体"/>
          <w:b/>
          <w:kern w:val="2"/>
          <w:sz w:val="36"/>
          <w:szCs w:val="36"/>
          <w:lang w:val="en-US" w:eastAsia="zh-CN" w:bidi="ar-SA"/>
        </w:rPr>
        <w:t>恒丰理财恒惠新丰利第259期</w:t>
      </w:r>
    </w:p>
    <w:p>
      <w:pPr>
        <w:jc w:val="center"/>
        <w:rPr>
          <w:rFonts w:ascii="微软雅黑" w:hAnsi="微软雅黑" w:eastAsia="微软雅黑"/>
          <w:b/>
          <w:sz w:val="28"/>
          <w:szCs w:val="28"/>
        </w:rPr>
      </w:pPr>
      <w:r>
        <w:rPr>
          <w:rFonts w:hint="eastAsia" w:ascii="黑体" w:hAnsi="黑体" w:eastAsia="黑体" w:cs="黑体"/>
          <w:b/>
          <w:sz w:val="36"/>
          <w:szCs w:val="36"/>
          <w:lang w:eastAsia="zh-CN"/>
        </w:rPr>
        <w:t>2024年年度报告</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ind w:firstLine="2168"/>
        <w:rPr>
          <w:rFonts w:ascii="宋体" w:hAnsi="宋体" w:cs="宋体"/>
          <w:b/>
          <w:sz w:val="24"/>
          <w:szCs w:val="24"/>
        </w:rPr>
      </w:pPr>
      <w:r>
        <w:rPr>
          <w:rFonts w:hint="eastAsia" w:ascii="宋体" w:hAnsi="宋体" w:cs="宋体"/>
          <w:b/>
          <w:sz w:val="24"/>
          <w:szCs w:val="24"/>
        </w:rPr>
        <w:t>产品管理人：</w:t>
      </w:r>
      <w:r>
        <w:rPr>
          <w:rFonts w:hint="eastAsia" w:ascii="宋体" w:hAnsi="宋体" w:cs="宋体"/>
          <w:b/>
          <w:sz w:val="24"/>
          <w:szCs w:val="24"/>
          <w:lang w:eastAsia="zh-CN"/>
        </w:rPr>
        <w:t>恒丰理财有限责任公司</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产品托管人：</w:t>
      </w:r>
      <w:r>
        <w:rPr>
          <w:rFonts w:hint="eastAsia" w:ascii="宋体" w:hAnsi="宋体" w:cs="宋体"/>
          <w:b/>
          <w:sz w:val="24"/>
          <w:szCs w:val="24"/>
          <w:lang w:eastAsia="zh-CN"/>
        </w:rPr>
        <w:t>恒丰银行股份有限公司</w:t>
      </w:r>
    </w:p>
    <w:p>
      <w:pPr>
        <w:jc w:val="center"/>
        <w:rPr>
          <w:rFonts w:ascii="宋体" w:hAnsi="宋体" w:cs="宋体"/>
          <w:b/>
          <w:sz w:val="24"/>
          <w:szCs w:val="24"/>
        </w:rPr>
      </w:pPr>
    </w:p>
    <w:p>
      <w:pPr>
        <w:jc w:val="center"/>
        <w:rPr>
          <w:rFonts w:ascii="微软雅黑" w:hAnsi="微软雅黑" w:eastAsia="微软雅黑"/>
          <w:b/>
          <w:sz w:val="28"/>
          <w:szCs w:val="28"/>
        </w:rPr>
      </w:pPr>
      <w:r>
        <w:rPr>
          <w:rFonts w:hint="eastAsia" w:ascii="宋体" w:hAnsi="宋体" w:cs="宋体"/>
          <w:b/>
          <w:sz w:val="24"/>
          <w:szCs w:val="24"/>
        </w:rPr>
        <w:t>报告期：</w:t>
      </w:r>
      <w:r>
        <w:rPr>
          <w:rFonts w:hint="eastAsia" w:ascii="宋体" w:hAnsi="宋体" w:cs="宋体"/>
          <w:b/>
          <w:sz w:val="24"/>
          <w:szCs w:val="24"/>
          <w:lang w:eastAsia="zh-CN"/>
        </w:rPr>
        <w:t>2024年</w:t>
      </w:r>
      <w:r>
        <w:rPr>
          <w:rFonts w:hint="eastAsia" w:ascii="宋体" w:hAnsi="宋体" w:cs="宋体"/>
          <w:b/>
          <w:sz w:val="24"/>
          <w:szCs w:val="24"/>
          <w:lang w:val="en-US" w:eastAsia="zh-CN"/>
        </w:rPr>
        <w:t>01</w:t>
      </w:r>
      <w:r>
        <w:rPr>
          <w:rFonts w:hint="eastAsia" w:ascii="宋体" w:hAnsi="宋体" w:cs="宋体"/>
          <w:b/>
          <w:sz w:val="24"/>
          <w:szCs w:val="24"/>
          <w:lang w:eastAsia="zh-CN"/>
        </w:rPr>
        <w:t>月01日至2024年12月31日</w:t>
      </w:r>
    </w:p>
    <w:p>
      <w:pPr>
        <w:jc w:val="left"/>
        <w:rPr>
          <w:rFonts w:ascii="微软雅黑" w:hAnsi="微软雅黑" w:eastAsia="微软雅黑"/>
          <w:b/>
          <w:sz w:val="28"/>
          <w:szCs w:val="28"/>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理财产品基本情况</w:t>
      </w:r>
    </w:p>
    <w:tbl>
      <w:tblPr>
        <w:tblStyle w:val="1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恒丰理财恒惠新丰利第259期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产品代码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HHXFL24259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产品登记编码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Z7008124000235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募集方式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产品运作模式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风险等级</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二级(中低)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成立日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2024年07月17日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到期日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2025年05月28日</w:t>
            </w:r>
          </w:p>
        </w:tc>
      </w:tr>
    </w:tbl>
    <w:p>
      <w:pPr>
        <w:pStyle w:val="22"/>
        <w:ind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产品存续规模和净值表现</w:t>
      </w:r>
    </w:p>
    <w:p>
      <w:pPr>
        <w:ind w:firstLine="480"/>
        <w:rPr>
          <w:rFonts w:ascii="宋体" w:hAnsi="宋体" w:cs="宋体"/>
          <w:sz w:val="24"/>
          <w:szCs w:val="24"/>
        </w:rPr>
      </w:pPr>
      <w:r>
        <w:rPr>
          <w:rFonts w:hint="eastAsia" w:ascii="宋体" w:hAnsi="宋体" w:cs="宋体"/>
          <w:sz w:val="24"/>
          <w:szCs w:val="24"/>
        </w:rPr>
        <w:t>截至报告期末，理财产品存续规模及净值表现如下</w:t>
      </w:r>
    </w:p>
    <w:tbl>
      <w:tblPr>
        <w:tblStyle w:val="10"/>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15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理财产品总份额：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126,101,067.00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其中：恒丰理财恒惠新丰利第259期A类产品份额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99,961,067.00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恒丰理财恒惠新丰利第259期私行专属B类产品份额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26,140,000.00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其中：恒丰理财恒惠新丰利第259期A类产品份额净值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恒丰理财恒惠新丰利第259期私行专属B类产品份额净值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其中：恒丰理财恒惠新丰利第259期A类产品累计份额净值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恒丰理财恒惠新丰利第259期私行专属B类产品累计份额净值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128,146,708.03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其中：恒丰理财恒惠新丰利第259期A类产品资产净值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101,577,295.31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恒丰理财恒惠新丰利第259期私行专属B类产品资产净值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26,569,412.72</w:t>
            </w:r>
          </w:p>
        </w:tc>
      </w:tr>
    </w:tbl>
    <w:p>
      <w:pPr>
        <w:pStyle w:val="22"/>
        <w:numPr>
          <w:ilvl w:val="0"/>
          <w:numId w:val="2"/>
        </w:numPr>
        <w:rPr>
          <w:rFonts w:hint="eastAsia" w:ascii="宋体" w:hAnsi="宋体" w:cs="宋体"/>
          <w:b/>
          <w:sz w:val="24"/>
          <w:szCs w:val="24"/>
        </w:rPr>
      </w:pPr>
      <w:r>
        <w:rPr>
          <w:rFonts w:hint="eastAsia" w:ascii="宋体" w:hAnsi="宋体" w:cs="宋体"/>
          <w:b/>
          <w:sz w:val="24"/>
          <w:szCs w:val="24"/>
        </w:rPr>
        <w:t>期末产品资产持仓情况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470"/>
        <w:gridCol w:w="211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序号</w:t>
            </w:r>
          </w:p>
        </w:tc>
        <w:tc>
          <w:tcPr>
            <w:tcW w:w="2035"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资产类别</w:t>
            </w:r>
          </w:p>
        </w:tc>
        <w:tc>
          <w:tcPr>
            <w:tcW w:w="1241" w:type="pct"/>
            <w:shd w:val="clear" w:color="auto" w:fill="auto"/>
            <w:vAlign w:val="center"/>
          </w:tcPr>
          <w:p>
            <w:pPr>
              <w:widowControl/>
              <w:jc w:val="center"/>
              <w:rPr>
                <w:rFonts w:hint="eastAsia" w:ascii="宋体" w:hAnsi="宋体" w:eastAsia="宋体" w:cs="Segoe UI"/>
                <w:b/>
                <w:bCs/>
                <w:color w:val="000000"/>
                <w:kern w:val="0"/>
                <w:sz w:val="22"/>
                <w:lang w:eastAsia="zh-CN"/>
              </w:rPr>
            </w:pPr>
            <w:r>
              <w:rPr>
                <w:rFonts w:hint="eastAsia" w:ascii="宋体" w:hAnsi="宋体" w:cs="Segoe UI"/>
                <w:b/>
                <w:bCs/>
                <w:color w:val="000000"/>
                <w:kern w:val="0"/>
                <w:sz w:val="22"/>
              </w:rPr>
              <w:t>穿透前占总资产比例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c>
          <w:tcPr>
            <w:tcW w:w="955" w:type="pct"/>
            <w:shd w:val="clear" w:color="auto" w:fill="auto"/>
            <w:vAlign w:val="center"/>
          </w:tcPr>
          <w:p>
            <w:pPr>
              <w:widowControl/>
              <w:jc w:val="center"/>
              <w:rPr>
                <w:rFonts w:hint="eastAsia" w:ascii="宋体" w:hAnsi="宋体" w:eastAsia="宋体" w:cs="Segoe UI"/>
                <w:b/>
                <w:bCs/>
                <w:color w:val="000000"/>
                <w:kern w:val="0"/>
                <w:sz w:val="22"/>
                <w:lang w:val="en-US" w:eastAsia="zh-CN"/>
              </w:rPr>
            </w:pPr>
            <w:r>
              <w:rPr>
                <w:rFonts w:hint="eastAsia" w:ascii="宋体" w:hAnsi="宋体" w:cs="Segoe UI"/>
                <w:b/>
                <w:bCs/>
                <w:color w:val="000000"/>
                <w:kern w:val="0"/>
                <w:sz w:val="22"/>
              </w:rPr>
              <w:t>穿透后占总资产比例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现金及银行存款</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0.03</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同业存单</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拆放同业及债券买入返售</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债券</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86.85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5</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非标准化债权类资产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6</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权益类资产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7</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金融衍生品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8</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代客境外理财投资QDII</w:t>
            </w:r>
          </w:p>
        </w:tc>
        <w:tc>
          <w:tcPr>
            <w:tcW w:w="1241" w:type="pct"/>
            <w:shd w:val="clear" w:color="auto" w:fill="auto"/>
            <w:vAlign w:val="center"/>
          </w:tcPr>
          <w:p>
            <w:pPr>
              <w:widowControl/>
              <w:jc w:val="center"/>
              <w:rPr>
                <w:rFonts w:hint="default" w:ascii="宋体" w:hAnsi="宋体" w:eastAsia="宋体" w:cs="Segoe UI"/>
                <w:color w:val="000000"/>
                <w:kern w:val="0"/>
                <w:sz w:val="22"/>
                <w:lang w:val="en-US" w:eastAsia="zh-CN"/>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9</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商品类资产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10</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另类资产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公募基金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私募基金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资产管理产品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99.97</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委外投资――协议方式</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hint="default" w:ascii="宋体" w:hAnsi="宋体" w:eastAsia="宋体" w:cs="Segoe UI"/>
                <w:b/>
                <w:bCs/>
                <w:color w:val="000000"/>
                <w:kern w:val="0"/>
                <w:sz w:val="22"/>
                <w:lang w:val="en-US" w:eastAsia="zh-CN"/>
              </w:rPr>
            </w:pPr>
            <w:r>
              <w:rPr>
                <w:rFonts w:hint="eastAsia" w:ascii="宋体" w:hAnsi="宋体" w:cs="Segoe UI"/>
                <w:b/>
                <w:bCs/>
                <w:color w:val="000000"/>
                <w:kern w:val="0"/>
                <w:sz w:val="22"/>
                <w:lang w:val="en-US" w:eastAsia="zh-CN"/>
              </w:rPr>
              <w:t>15</w:t>
            </w:r>
          </w:p>
        </w:tc>
        <w:tc>
          <w:tcPr>
            <w:tcW w:w="2035" w:type="pct"/>
            <w:shd w:val="clear" w:color="auto" w:fill="auto"/>
            <w:vAlign w:val="center"/>
          </w:tcPr>
          <w:p>
            <w:pPr>
              <w:widowControl/>
              <w:jc w:val="center"/>
              <w:rPr>
                <w:rFonts w:hint="eastAsia" w:ascii="宋体" w:hAnsi="宋体" w:eastAsia="宋体" w:cs="Segoe UI"/>
                <w:color w:val="000000"/>
                <w:kern w:val="0"/>
                <w:sz w:val="22"/>
                <w:lang w:eastAsia="zh-CN"/>
              </w:rPr>
            </w:pPr>
            <w:r>
              <w:rPr>
                <w:rFonts w:hint="eastAsia" w:ascii="宋体" w:hAnsi="宋体" w:cs="Segoe UI"/>
                <w:color w:val="000000"/>
                <w:kern w:val="0"/>
                <w:sz w:val="22"/>
                <w:lang w:eastAsia="zh-CN"/>
              </w:rPr>
              <w:t>其他</w:t>
            </w:r>
          </w:p>
        </w:tc>
        <w:tc>
          <w:tcPr>
            <w:tcW w:w="1241"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r>
    </w:tbl>
    <w:p>
      <w:pPr>
        <w:rPr>
          <w:rFonts w:hint="eastAsia" w:ascii="宋体" w:hAnsi="宋体" w:cs="宋体"/>
          <w:b/>
          <w:sz w:val="24"/>
          <w:szCs w:val="24"/>
        </w:rPr>
      </w:pPr>
      <w:r>
        <w:rPr>
          <w:rFonts w:hint="eastAsia" w:ascii="宋体" w:hAnsi="宋体" w:cs="宋体"/>
          <w:bCs/>
          <w:szCs w:val="21"/>
        </w:rPr>
        <w:t>截至报告期末本产品杠杆率为134.53%</w:t>
      </w:r>
    </w:p>
    <w:p>
      <w:pPr>
        <w:rPr>
          <w:rFonts w:hint="eastAsia" w:ascii="宋体" w:hAnsi="宋体" w:cs="宋体"/>
          <w:b/>
          <w:sz w:val="24"/>
          <w:szCs w:val="24"/>
        </w:rPr>
      </w:pPr>
    </w:p>
    <w:p>
      <w:pPr>
        <w:pStyle w:val="22"/>
        <w:numPr>
          <w:ilvl w:val="0"/>
          <w:numId w:val="2"/>
        </w:numPr>
        <w:rPr>
          <w:rFonts w:hint="eastAsia" w:ascii="宋体" w:hAnsi="宋体" w:cs="宋体"/>
          <w:b/>
          <w:sz w:val="24"/>
          <w:szCs w:val="24"/>
        </w:rPr>
      </w:pPr>
      <w:r>
        <w:rPr>
          <w:rFonts w:hint="eastAsia" w:ascii="宋体" w:hAnsi="宋体" w:cs="宋体"/>
          <w:b/>
          <w:sz w:val="24"/>
          <w:szCs w:val="24"/>
        </w:rPr>
        <w:t>期末产品持有的前十项资产</w:t>
      </w:r>
    </w:p>
    <w:tbl>
      <w:tblPr>
        <w:tblStyle w:val="1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700"/>
        <w:gridCol w:w="245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资产名称</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资产余额(元)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占总资产的比例（%）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24广发银行永续债02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5,314,072.89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23农行永续债01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3,751,337.63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23宁波银行永续债01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3,334,973.88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3,259,776.75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24民生银行永续债01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3,251,003.42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23邮储永续债01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3,230,157.81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23建行永续债02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3,169,871.94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3,024,445.34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23招行永续债01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2,762,821.72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大成景熙利率债A</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2,651,375.41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1.54 </w:t>
            </w:r>
          </w:p>
        </w:tc>
      </w:tr>
    </w:tbl>
    <w:p>
      <w:pPr>
        <w:rPr>
          <w:rFonts w:hint="eastAsia" w:ascii="宋体" w:hAnsi="宋体" w:cs="宋体"/>
          <w:b/>
          <w:sz w:val="24"/>
          <w:szCs w:val="24"/>
        </w:rPr>
      </w:pPr>
      <w:r>
        <w:rPr>
          <w:rFonts w:hint="eastAsia" w:ascii="宋体" w:hAnsi="宋体" w:cs="宋体"/>
          <w:b/>
          <w:sz w:val="24"/>
          <w:szCs w:val="24"/>
        </w:rPr>
        <w:t>五、非标准化债权类资产情况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六、报告期内关联交易情况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ind w:firstLine="720" w:firstLineChars="0"/>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、投资账户信息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0"/>
        <w:gridCol w:w="1857"/>
        <w:gridCol w:w="245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2" w:type="dxa"/>
            <w:vAlign w:val="center"/>
          </w:tcPr>
          <w:p>
            <w:pPr>
              <w:jc w:val="center"/>
              <w:rPr>
                <w:rFonts w:ascii="宋体" w:hAnsi="宋体" w:cs="宋体"/>
                <w:b/>
                <w:sz w:val="24"/>
                <w:szCs w:val="24"/>
              </w:rPr>
            </w:pPr>
            <w:r>
              <w:rPr>
                <w:rFonts w:hint="eastAsia" w:ascii="宋体" w:hAnsi="宋体" w:cs="宋体"/>
                <w:bCs/>
                <w:sz w:val="24"/>
                <w:szCs w:val="24"/>
              </w:rPr>
              <w:t>序号</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账户类型</w:t>
            </w:r>
          </w:p>
        </w:tc>
        <w:tc>
          <w:tcPr>
            <w:tcW w:w="1857" w:type="dxa"/>
            <w:vAlign w:val="center"/>
          </w:tcPr>
          <w:p>
            <w:pPr>
              <w:jc w:val="center"/>
              <w:rPr>
                <w:rFonts w:ascii="宋体" w:hAnsi="宋体" w:cs="宋体"/>
                <w:bCs/>
                <w:sz w:val="24"/>
                <w:szCs w:val="24"/>
              </w:rPr>
            </w:pPr>
            <w:r>
              <w:rPr>
                <w:rFonts w:hint="eastAsia" w:ascii="宋体" w:hAnsi="宋体" w:cs="宋体"/>
                <w:bCs/>
                <w:sz w:val="24"/>
                <w:szCs w:val="24"/>
              </w:rPr>
              <w:t>户名</w:t>
            </w:r>
          </w:p>
        </w:tc>
        <w:tc>
          <w:tcPr>
            <w:tcW w:w="2456" w:type="dxa"/>
            <w:vAlign w:val="center"/>
          </w:tcPr>
          <w:p>
            <w:pPr>
              <w:jc w:val="center"/>
              <w:rPr>
                <w:rFonts w:ascii="宋体" w:hAnsi="宋体" w:cs="宋体"/>
                <w:bCs/>
                <w:sz w:val="24"/>
                <w:szCs w:val="24"/>
              </w:rPr>
            </w:pPr>
            <w:r>
              <w:rPr>
                <w:rFonts w:hint="eastAsia" w:ascii="宋体" w:hAnsi="宋体" w:cs="宋体"/>
                <w:bCs/>
                <w:sz w:val="24"/>
                <w:szCs w:val="24"/>
              </w:rPr>
              <w:t>账号</w:t>
            </w:r>
          </w:p>
        </w:tc>
        <w:tc>
          <w:tcPr>
            <w:tcW w:w="2067" w:type="dxa"/>
            <w:vAlign w:val="center"/>
          </w:tcPr>
          <w:p>
            <w:pPr>
              <w:jc w:val="center"/>
              <w:rPr>
                <w:rFonts w:ascii="宋体" w:hAnsi="宋体" w:cs="宋体"/>
                <w:bCs/>
                <w:sz w:val="24"/>
                <w:szCs w:val="24"/>
              </w:rPr>
            </w:pPr>
            <w:r>
              <w:rPr>
                <w:rFonts w:hint="eastAsia" w:ascii="宋体" w:hAnsi="宋体" w:cs="宋体"/>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宋体" w:hAnsi="宋体" w:cs="宋体"/>
                <w:bCs/>
                <w:sz w:val="24"/>
                <w:szCs w:val="24"/>
              </w:rPr>
            </w:pPr>
            <w:r>
              <w:rPr>
                <w:rFonts w:hint="eastAsia" w:ascii="宋体" w:hAnsi="宋体" w:cs="宋体"/>
                <w:bCs/>
                <w:sz w:val="24"/>
                <w:szCs w:val="24"/>
              </w:rPr>
              <w:t>1</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资金托管账户</w:t>
            </w:r>
          </w:p>
        </w:tc>
        <w:tc>
          <w:tcPr>
            <w:tcW w:w="1857" w:type="dxa"/>
            <w:vAlign w:val="center"/>
          </w:tcPr>
          <w:p>
            <w:pPr>
              <w:jc w:val="center"/>
              <w:rPr>
                <w:rFonts w:ascii="宋体" w:hAnsi="宋体" w:cs="宋体"/>
                <w:bCs/>
                <w:sz w:val="24"/>
                <w:szCs w:val="24"/>
              </w:rPr>
            </w:pPr>
            <w:r>
              <w:rPr>
                <w:rFonts w:hint="eastAsia" w:ascii="宋体" w:hAnsi="宋体" w:cs="宋体"/>
                <w:bCs/>
                <w:sz w:val="24"/>
                <w:szCs w:val="24"/>
                <w:lang w:eastAsia="zh-CN"/>
              </w:rPr>
              <w:t>恒丰理财有限责任公司恒丰理财恒惠新丰利第259期</w:t>
            </w:r>
          </w:p>
        </w:tc>
        <w:tc>
          <w:tcPr>
            <w:tcW w:w="2456" w:type="dxa"/>
            <w:vAlign w:val="center"/>
          </w:tcPr>
          <w:p>
            <w:pPr>
              <w:jc w:val="center"/>
              <w:rPr>
                <w:rFonts w:ascii="宋体" w:hAnsi="宋体" w:cs="宋体"/>
                <w:bCs/>
                <w:sz w:val="24"/>
                <w:szCs w:val="24"/>
              </w:rPr>
            </w:pPr>
            <w:r>
              <w:rPr>
                <w:rFonts w:hint="eastAsia" w:ascii="宋体" w:hAnsi="宋体" w:cs="宋体"/>
                <w:bCs/>
                <w:sz w:val="24"/>
                <w:szCs w:val="24"/>
                <w:lang w:eastAsia="zh-CN"/>
              </w:rPr>
              <w:t>37050101100100000645</w:t>
            </w:r>
          </w:p>
        </w:tc>
        <w:tc>
          <w:tcPr>
            <w:tcW w:w="2067" w:type="dxa"/>
            <w:vAlign w:val="center"/>
          </w:tcPr>
          <w:p>
            <w:pPr>
              <w:jc w:val="center"/>
              <w:rPr>
                <w:rFonts w:ascii="宋体" w:hAnsi="宋体" w:cs="宋体"/>
                <w:bCs/>
                <w:sz w:val="24"/>
                <w:szCs w:val="24"/>
              </w:rPr>
            </w:pPr>
            <w:r>
              <w:rPr>
                <w:rFonts w:hint="eastAsia" w:ascii="宋体" w:hAnsi="宋体" w:cs="宋体"/>
                <w:bCs/>
                <w:sz w:val="24"/>
                <w:szCs w:val="24"/>
                <w:lang w:eastAsia="zh-CN"/>
              </w:rPr>
              <w:t>恒丰银行济南分行营业部</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、产品整体运作情况</w:t>
      </w:r>
    </w:p>
    <w:p>
      <w:pPr>
        <w:ind w:firstLine="480"/>
        <w:rPr>
          <w:rFonts w:ascii="宋体" w:hAnsi="宋体" w:cs="宋体"/>
          <w:sz w:val="24"/>
          <w:szCs w:val="24"/>
        </w:rPr>
      </w:pPr>
      <w:r>
        <w:rPr>
          <w:rFonts w:hint="eastAsia" w:ascii="宋体" w:hAnsi="宋体" w:cs="宋体"/>
          <w:sz w:val="24"/>
          <w:szCs w:val="24"/>
        </w:rPr>
        <w:t>自本产品成立起至本报告日，产品管理人恪尽职守、勤勉尽责、谨慎管理，忠实履行有关法律、行政法规和相关文件的规定。</w:t>
      </w:r>
    </w:p>
    <w:p>
      <w:pPr>
        <w:ind w:firstLine="480"/>
        <w:rPr>
          <w:rFonts w:ascii="宋体" w:hAnsi="宋体" w:cs="宋体"/>
          <w:sz w:val="24"/>
          <w:szCs w:val="24"/>
        </w:rPr>
      </w:pPr>
      <w:r>
        <w:rPr>
          <w:rFonts w:hint="eastAsia" w:ascii="宋体" w:hAnsi="宋体" w:cs="宋体"/>
          <w:sz w:val="24"/>
          <w:szCs w:val="24"/>
        </w:rPr>
        <w:t>截至本报告日，全部项目均能正常付息，各项投资资产正常运营，产品流动性良好，风险可控。</w:t>
      </w:r>
    </w:p>
    <w:p>
      <w:pPr>
        <w:ind w:firstLine="480"/>
        <w:rPr>
          <w:rFonts w:ascii="宋体" w:hAnsi="宋体" w:cs="宋体"/>
          <w:sz w:val="24"/>
          <w:szCs w:val="24"/>
        </w:rPr>
      </w:pPr>
      <w:r>
        <w:rPr>
          <w:rFonts w:hint="eastAsia" w:ascii="宋体" w:hAnsi="宋体" w:cs="宋体"/>
          <w:sz w:val="24"/>
          <w:szCs w:val="24"/>
        </w:rPr>
        <w:t>本产品自成立至本报告日，没有发生涉诉等损害投资者利益的情形。</w: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、投资组合的流动性分析</w:t>
      </w:r>
    </w:p>
    <w:p>
      <w:pPr>
        <w:ind w:firstLine="480"/>
        <w:rPr>
          <w:rFonts w:hint="eastAsia" w:ascii="宋体" w:hAnsi="宋体" w:cs="宋体"/>
          <w:b/>
          <w:bCs/>
          <w:sz w:val="24"/>
          <w:szCs w:val="24"/>
        </w:rPr>
      </w:pPr>
      <w:r>
        <w:rPr>
          <w:rFonts w:hint="eastAsia" w:ascii="宋体" w:hAnsi="宋体" w:cs="宋体"/>
          <w:b/>
          <w:bCs/>
          <w:sz w:val="24"/>
          <w:szCs w:val="24"/>
        </w:rPr>
        <w:t>（一）市场展望</w:t>
      </w:r>
    </w:p>
    <w:p>
      <w:pPr>
        <w:ind w:firstLine="480"/>
        <w:rPr>
          <w:rFonts w:hint="eastAsia" w:ascii="宋体" w:hAnsi="宋体" w:cs="宋体"/>
          <w:sz w:val="24"/>
          <w:szCs w:val="24"/>
        </w:rPr>
      </w:pPr>
      <w:r>
        <w:rPr>
          <w:rFonts w:hint="eastAsia" w:ascii="宋体" w:hAnsi="宋体" w:cs="宋体"/>
          <w:sz w:val="24"/>
          <w:szCs w:val="24"/>
        </w:rPr>
        <w:t>展望2025年一季度，国内经济回升向好趋势仍需巩固，在经济内生动能修复过程中，货币政策仍有进一步宽松的空间。考虑经济向高质量发展转型和化解部分行业风险等因素影响，预计后续利率低位震荡概率较大，但仍有望从震荡中走出交易机会。</w:t>
      </w:r>
    </w:p>
    <w:p>
      <w:pPr>
        <w:ind w:firstLine="480"/>
        <w:rPr>
          <w:rFonts w:hint="eastAsia" w:ascii="宋体" w:hAnsi="宋体" w:cs="宋体"/>
          <w:b/>
          <w:bCs/>
          <w:sz w:val="24"/>
          <w:szCs w:val="24"/>
        </w:rPr>
      </w:pPr>
      <w:r>
        <w:rPr>
          <w:rFonts w:hint="eastAsia" w:ascii="宋体" w:hAnsi="宋体" w:cs="宋体"/>
          <w:b/>
          <w:bCs/>
          <w:sz w:val="24"/>
          <w:szCs w:val="24"/>
        </w:rPr>
        <w:t>（二）投资策略</w:t>
      </w:r>
    </w:p>
    <w:p>
      <w:pPr>
        <w:ind w:firstLine="480"/>
        <w:rPr>
          <w:rFonts w:hint="eastAsia" w:ascii="宋体" w:hAnsi="宋体" w:cs="宋体"/>
          <w:sz w:val="24"/>
          <w:szCs w:val="24"/>
        </w:rPr>
      </w:pPr>
      <w:r>
        <w:rPr>
          <w:rFonts w:hint="eastAsia" w:ascii="宋体" w:hAnsi="宋体" w:cs="宋体"/>
          <w:sz w:val="24"/>
          <w:szCs w:val="24"/>
        </w:rPr>
        <w:t>基于上述判断，产品将采取中性久期、高评级票息策略为主。在当前资金面偏松的环境下，保持一定杠杆水平，重点配置中高等级信用债，严格规避弱资质标的，防范信用风险，并择机参与同业存单以及国股大行二永债等高流动性资产的交易机会，获取合理回报。</w:t>
      </w:r>
    </w:p>
    <w:p>
      <w:pPr>
        <w:ind w:firstLine="480"/>
        <w:rPr>
          <w:rFonts w:hint="eastAsia" w:ascii="宋体" w:hAnsi="宋体" w:cs="宋体"/>
          <w:b/>
          <w:bCs/>
          <w:sz w:val="24"/>
          <w:szCs w:val="24"/>
        </w:rPr>
      </w:pPr>
      <w:r>
        <w:rPr>
          <w:rFonts w:hint="eastAsia" w:ascii="宋体" w:hAnsi="宋体" w:cs="宋体"/>
          <w:b/>
          <w:bCs/>
          <w:sz w:val="24"/>
          <w:szCs w:val="24"/>
        </w:rPr>
        <w:t>（三）流动性风险应对措施</w:t>
      </w:r>
    </w:p>
    <w:p>
      <w:pPr>
        <w:ind w:firstLine="480"/>
        <w:rPr>
          <w:rFonts w:hint="eastAsia" w:ascii="宋体" w:hAnsi="宋体" w:cs="宋体"/>
          <w:sz w:val="24"/>
          <w:szCs w:val="24"/>
        </w:rPr>
      </w:pPr>
      <w:r>
        <w:rPr>
          <w:rFonts w:hint="eastAsia" w:ascii="宋体" w:hAnsi="宋体" w:cs="宋体"/>
          <w:sz w:val="24"/>
          <w:szCs w:val="24"/>
        </w:rPr>
        <w:t>流动性风险是指因市场交易量不足，导致证券不能迅速、低成本地转变为现金的风险；亦包括由于理财产品在开放期出现投资者大额或巨额赎回，致使理财产品没有足够的现金应付客户退出支付的要求所导致的风险。</w:t>
      </w:r>
    </w:p>
    <w:p>
      <w:pPr>
        <w:ind w:firstLine="480"/>
        <w:rPr>
          <w:rFonts w:hint="eastAsia" w:ascii="宋体" w:hAnsi="宋体" w:cs="宋体"/>
          <w:sz w:val="24"/>
          <w:szCs w:val="24"/>
        </w:rPr>
      </w:pPr>
      <w:r>
        <w:rPr>
          <w:rFonts w:hint="eastAsia" w:ascii="宋体" w:hAnsi="宋体" w:cs="宋体"/>
          <w:sz w:val="24"/>
          <w:szCs w:val="24"/>
        </w:rPr>
        <w:t>本理财产品在投资过程中，会对组合资产的流动性指标进行日常监控。若通过监测，发现存在流动性风险时，则需要通过降低持有资产集中度、提高高流动性资产占比、增加现金比例等方式提高组合资产的流动性。根据产品开放时间安排，提前安排资产变现，准备足量可用流动性，以满足开放赎回资金需求。</w:t>
      </w:r>
    </w:p>
    <w:p>
      <w:pPr>
        <w:ind w:firstLine="480"/>
        <w:rPr>
          <w:rFonts w:hint="eastAsia" w:ascii="宋体" w:hAnsi="宋体" w:cs="宋体"/>
          <w:sz w:val="24"/>
          <w:szCs w:val="24"/>
        </w:rPr>
      </w:pPr>
    </w:p>
    <w:p>
      <w:pPr>
        <w:rPr>
          <w:rFonts w:ascii="宋体" w:hAnsi="宋体" w:cs="宋体"/>
          <w:sz w:val="24"/>
          <w:szCs w:val="24"/>
        </w:rPr>
      </w:pPr>
    </w:p>
    <w:p>
      <w:pPr>
        <w:rPr>
          <w:rFonts w:ascii="宋体" w:hAnsi="宋体" w:cs="宋体"/>
          <w:sz w:val="24"/>
          <w:szCs w:val="24"/>
        </w:rPr>
      </w:pPr>
    </w:p>
    <w:p>
      <w:pPr>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恒丰理财有限责任公司</w:t>
      </w:r>
    </w:p>
    <w:p>
      <w:pPr>
        <w:ind w:firstLine="5280"/>
        <w:rPr>
          <w:rFonts w:ascii="宋体" w:hAnsi="宋体" w:eastAsia="宋体" w:cs="宋体"/>
          <w:kern w:val="2"/>
          <w:sz w:val="24"/>
          <w:szCs w:val="24"/>
          <w:lang w:val="en-US" w:eastAsia="zh-CN" w:bidi="ar-SA"/>
        </w:rPr>
      </w:pPr>
      <w:r>
        <w:rPr>
          <w:rFonts w:hint="eastAsia" w:ascii="宋体" w:hAnsi="宋体" w:cs="宋体"/>
          <w:sz w:val="24"/>
          <w:szCs w:val="24"/>
          <w:lang w:eastAsia="zh-CN"/>
        </w:rPr>
        <w:t>2025年0</w:t>
      </w:r>
      <w:r>
        <w:rPr>
          <w:rFonts w:hint="eastAsia" w:ascii="宋体" w:hAnsi="宋体" w:cs="宋体"/>
          <w:sz w:val="24"/>
          <w:szCs w:val="24"/>
          <w:lang w:val="en-US" w:eastAsia="zh-CN"/>
        </w:rPr>
        <w:t>3</w:t>
      </w:r>
      <w:r>
        <w:rPr>
          <w:rFonts w:hint="eastAsia" w:ascii="宋体" w:hAnsi="宋体" w:cs="宋体"/>
          <w:sz w:val="24"/>
          <w:szCs w:val="24"/>
          <w:lang w:eastAsia="zh-CN"/>
        </w:rPr>
        <w:t>月2</w:t>
      </w:r>
      <w:r>
        <w:rPr>
          <w:rFonts w:hint="eastAsia" w:ascii="宋体" w:hAnsi="宋体" w:cs="宋体"/>
          <w:sz w:val="24"/>
          <w:szCs w:val="24"/>
          <w:lang w:val="en-US" w:eastAsia="zh-CN"/>
        </w:rPr>
        <w:t>8</w:t>
      </w:r>
      <w:bookmarkStart w:id="0" w:name="_GoBack"/>
      <w:bookmarkEnd w:id="0"/>
      <w:r>
        <w:rPr>
          <w:rFonts w:hint="eastAsia" w:ascii="宋体" w:hAnsi="宋体" w:cs="宋体"/>
          <w:sz w:val="24"/>
          <w:szCs w:val="24"/>
          <w:lang w:eastAsia="zh-CN"/>
        </w:rPr>
        <w:t>日</w:t>
      </w: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br w:type="page"/>
      </w:r>
    </w:p>
    <w:p>
      <w:pPr>
        <w:rPr>
          <w:rFonts w:ascii="宋体" w:hAnsi="宋体" w:eastAsia="宋体" w:cs="宋体"/>
          <w:kern w:val="2"/>
          <w:sz w:val="24"/>
          <w:szCs w:val="24"/>
          <w:lang w:val="en-US" w:eastAsia="zh-CN" w:bidi="ar-SA"/>
        </w:rPr>
      </w:pPr>
    </w:p>
    <w:p>
      <w:pPr>
        <w:pStyle w:val="21"/>
        <w:numPr>
          <w:ilvl w:val="0"/>
          <w:numId w:val="0"/>
        </w:numPr>
        <w:rPr>
          <w:rFonts w:cs="宋体"/>
          <w:sz w:val="24"/>
        </w:rPr>
      </w:pPr>
      <w:r>
        <w:rPr>
          <w:rFonts w:hint="eastAsia" w:cs="宋体"/>
          <w:sz w:val="24"/>
        </w:rPr>
        <w:t>托管人报告</w:t>
      </w:r>
    </w:p>
    <w:p>
      <w:pPr>
        <w:pStyle w:val="20"/>
        <w:numPr>
          <w:ilvl w:val="0"/>
          <w:numId w:val="0"/>
        </w:numPr>
        <w:spacing w:before="312"/>
        <w:rPr>
          <w:rFonts w:cs="宋体"/>
          <w:szCs w:val="24"/>
        </w:rPr>
      </w:pPr>
      <w:r>
        <w:rPr>
          <w:rFonts w:hint="eastAsia" w:cs="宋体"/>
          <w:szCs w:val="24"/>
          <w:lang w:val="en-US"/>
        </w:rPr>
        <w:t>1.1</w:t>
      </w:r>
      <w:r>
        <w:rPr>
          <w:rFonts w:hint="eastAsia" w:cs="宋体"/>
          <w:szCs w:val="24"/>
        </w:rPr>
        <w:t>报告期内本</w:t>
      </w:r>
      <w:r>
        <w:rPr>
          <w:rFonts w:hint="eastAsia" w:cs="宋体"/>
          <w:szCs w:val="24"/>
          <w:lang w:val="en-US"/>
        </w:rPr>
        <w:t>理财产品</w:t>
      </w:r>
      <w:r>
        <w:rPr>
          <w:rFonts w:hint="eastAsia" w:cs="宋体"/>
          <w:szCs w:val="24"/>
        </w:rPr>
        <w:t>托管人遵规守信情况声明</w:t>
      </w:r>
    </w:p>
    <w:p>
      <w:pPr>
        <w:pStyle w:val="19"/>
        <w:ind w:firstLine="480"/>
        <w:rPr>
          <w:rFonts w:ascii="宋体" w:hAnsi="宋体" w:cs="宋体"/>
          <w:sz w:val="24"/>
          <w:szCs w:val="24"/>
        </w:rPr>
      </w:pPr>
      <w:r>
        <w:rPr>
          <w:rFonts w:hint="eastAsia" w:ascii="宋体" w:hAnsi="宋体" w:cs="宋体"/>
          <w:sz w:val="24"/>
          <w:szCs w:val="24"/>
        </w:rPr>
        <w:t>在本报告期内，本托管人严格遵守《商业银行理财业务监督管理办法》、理财产品说明书、托管协议及其他有关法律法规规定，诚信、尽责地履行了理财产品托管人义务。</w:t>
      </w:r>
    </w:p>
    <w:p>
      <w:pPr>
        <w:pStyle w:val="20"/>
        <w:numPr>
          <w:ilvl w:val="0"/>
          <w:numId w:val="0"/>
        </w:numPr>
        <w:spacing w:before="312"/>
        <w:rPr>
          <w:rFonts w:cs="宋体"/>
          <w:szCs w:val="24"/>
        </w:rPr>
      </w:pPr>
      <w:r>
        <w:rPr>
          <w:rFonts w:hint="eastAsia" w:cs="宋体"/>
          <w:szCs w:val="24"/>
          <w:lang w:val="en-US"/>
        </w:rPr>
        <w:t>1.2</w:t>
      </w:r>
      <w:r>
        <w:rPr>
          <w:rFonts w:hint="eastAsia" w:cs="宋体"/>
          <w:szCs w:val="24"/>
        </w:rPr>
        <w:t>托管人对报告期内本</w:t>
      </w:r>
      <w:r>
        <w:rPr>
          <w:rFonts w:hint="eastAsia" w:cs="宋体"/>
          <w:szCs w:val="24"/>
          <w:lang w:val="en-US"/>
        </w:rPr>
        <w:t>理财产品</w:t>
      </w:r>
      <w:r>
        <w:rPr>
          <w:rFonts w:hint="eastAsia" w:cs="宋体"/>
          <w:szCs w:val="24"/>
        </w:rPr>
        <w:t>投资运作遵规守信、净值计算、利润分配等情况的说明</w:t>
      </w:r>
    </w:p>
    <w:p>
      <w:pPr>
        <w:pStyle w:val="19"/>
        <w:ind w:firstLine="480"/>
        <w:rPr>
          <w:rFonts w:ascii="宋体" w:hAnsi="宋体" w:cs="宋体"/>
          <w:sz w:val="24"/>
          <w:szCs w:val="24"/>
        </w:rPr>
      </w:pPr>
      <w:r>
        <w:rPr>
          <w:rFonts w:hint="eastAsia" w:ascii="宋体" w:hAnsi="宋体" w:cs="宋体"/>
          <w:sz w:val="24"/>
          <w:szCs w:val="24"/>
        </w:rPr>
        <w:t>本报告期内，本托管人根据国家有关法律法规、理财产品说明书和托管协议的规定，对理财产品管理人在本理财产品的投资运作、资产净值计算、理财收益的计算、费用开支、利润分配情况（如有）等方面进行了必要的监督，未发现理财产品管理人有损害本理财产品份额持有人利益的行为。</w:t>
      </w:r>
    </w:p>
    <w:p>
      <w:pPr>
        <w:pStyle w:val="20"/>
        <w:numPr>
          <w:ilvl w:val="0"/>
          <w:numId w:val="0"/>
        </w:numPr>
        <w:spacing w:before="312"/>
        <w:rPr>
          <w:rFonts w:cs="宋体"/>
          <w:szCs w:val="24"/>
        </w:rPr>
      </w:pPr>
      <w:r>
        <w:rPr>
          <w:rFonts w:hint="eastAsia" w:cs="宋体"/>
          <w:szCs w:val="24"/>
          <w:lang w:val="en-US"/>
        </w:rPr>
        <w:t>1.3</w:t>
      </w:r>
      <w:r>
        <w:rPr>
          <w:rFonts w:hint="eastAsia" w:cs="宋体"/>
          <w:szCs w:val="24"/>
        </w:rPr>
        <w:t>托管人对本报告中财务信息等内容的真实、准确和完整发表意见</w:t>
      </w:r>
    </w:p>
    <w:p>
      <w:pPr>
        <w:spacing w:line="360" w:lineRule="auto"/>
        <w:ind w:firstLine="480"/>
        <w:rPr>
          <w:rFonts w:ascii="宋体" w:hAnsi="宋体" w:cs="宋体"/>
          <w:color w:val="222222"/>
          <w:kern w:val="0"/>
          <w:sz w:val="24"/>
          <w:szCs w:val="24"/>
        </w:rPr>
      </w:pPr>
      <w:r>
        <w:rPr>
          <w:rFonts w:hint="eastAsia" w:ascii="宋体" w:hAnsi="宋体" w:cs="宋体"/>
          <w:color w:val="222222"/>
          <w:kern w:val="0"/>
          <w:sz w:val="24"/>
          <w:szCs w:val="24"/>
        </w:rPr>
        <w:t>本托管人复核了本报告中的财务指标、净值表现、利润分配情况（如有）、财务会计报告、投资组合报告等内容，认为其真实、准确和完整，不存在虚假记载、误导性陈述或者重大遗漏。</w:t>
      </w:r>
    </w:p>
    <w:p>
      <w:pPr>
        <w:pStyle w:val="23"/>
        <w:rPr>
          <w:rFonts w:ascii="宋体" w:hAnsi="宋体" w:cs="宋体"/>
          <w:b/>
        </w:rPr>
      </w:pPr>
    </w:p>
    <w:p>
      <w:pPr>
        <w:pStyle w:val="22"/>
        <w:ind w:left="450" w:firstLine="0"/>
        <w:rPr>
          <w:rFonts w:ascii="宋体" w:hAnsi="宋体" w:cs="宋体"/>
          <w:sz w:val="24"/>
          <w:szCs w:val="24"/>
        </w:rPr>
      </w:pPr>
    </w:p>
    <w:p>
      <w:pPr>
        <w:ind w:left="450"/>
        <w:rPr>
          <w:rFonts w:ascii="宋体" w:hAnsi="宋体" w:cs="宋体"/>
          <w:sz w:val="24"/>
          <w:szCs w:val="24"/>
        </w:rPr>
      </w:pPr>
      <w:r>
        <w:rPr>
          <w:rFonts w:hint="eastAsia" w:ascii="宋体" w:hAnsi="宋体" w:cs="宋体"/>
          <w:sz w:val="24"/>
          <w:szCs w:val="24"/>
        </w:rPr>
        <w:br w:type="page"/>
      </w:r>
    </w:p>
    <w:p>
      <w:pPr>
        <w:pStyle w:val="22"/>
        <w:ind w:left="450" w:firstLine="0"/>
        <w:rPr>
          <w:rFonts w:ascii="宋体" w:hAnsi="宋体" w:cs="宋体"/>
          <w:sz w:val="24"/>
          <w:szCs w:val="24"/>
        </w:rPr>
      </w:pPr>
    </w:p>
    <w:p>
      <w:pPr>
        <w:pStyle w:val="23"/>
        <w:rPr>
          <w:rFonts w:ascii="宋体" w:hAnsi="宋体" w:cs="宋体"/>
          <w:b/>
        </w:rPr>
      </w:pPr>
      <w:r>
        <w:rPr>
          <w:rFonts w:hint="eastAsia" w:ascii="宋体" w:hAnsi="宋体" w:cs="宋体"/>
          <w:b/>
        </w:rPr>
        <w:t>免责声明</w:t>
      </w:r>
    </w:p>
    <w:p>
      <w:pPr>
        <w:pStyle w:val="23"/>
        <w:rPr>
          <w:rFonts w:ascii="宋体" w:hAnsi="宋体" w:cs="宋体"/>
        </w:rPr>
      </w:pPr>
    </w:p>
    <w:p>
      <w:pPr>
        <w:pStyle w:val="23"/>
        <w:spacing w:line="360" w:lineRule="auto"/>
        <w:ind w:firstLine="480"/>
        <w:rPr>
          <w:rFonts w:ascii="宋体" w:hAnsi="宋体" w:cs="宋体"/>
        </w:rPr>
      </w:pPr>
      <w:r>
        <w:rPr>
          <w:rFonts w:hint="eastAsia" w:ascii="宋体" w:hAnsi="宋体" w:cs="宋体"/>
        </w:rPr>
        <w:t>本报告内容仅供报告阅读者参考，一切商业决策均将由报告阅读者综合各方信息后自行作出，对于本报告所提供的信息导致的任何直接或间接的后果，管理人</w:t>
      </w:r>
      <w:r>
        <w:rPr>
          <w:rFonts w:hint="eastAsia" w:ascii="宋体" w:hAnsi="宋体" w:cs="宋体"/>
          <w:lang w:eastAsia="zh-CN"/>
        </w:rPr>
        <w:t>恒丰理财有限责任公司</w:t>
      </w:r>
      <w:r>
        <w:rPr>
          <w:rFonts w:hint="eastAsia" w:ascii="宋体" w:hAnsi="宋体" w:cs="宋体"/>
        </w:rPr>
        <w:t>不承担任何责任。</w:t>
      </w:r>
    </w:p>
    <w:p>
      <w:pPr>
        <w:pStyle w:val="23"/>
        <w:spacing w:line="360" w:lineRule="auto"/>
        <w:ind w:firstLine="480"/>
        <w:rPr>
          <w:rFonts w:ascii="宋体" w:hAnsi="宋体" w:cs="宋体"/>
        </w:rPr>
      </w:pPr>
      <w:r>
        <w:rPr>
          <w:rFonts w:hint="eastAsia" w:ascii="宋体" w:hAnsi="宋体" w:cs="宋体"/>
        </w:rPr>
        <w:t>本报告版权仅为管理人所有，未经书面许可任何机构和个人不得以任何形式翻版、复制和发表。除非是已被公开出版刊物正式刊登，否则，均应被视为非公开的研讨性分析行为。如引用、刊发，需注明出处为</w:t>
      </w:r>
      <w:r>
        <w:rPr>
          <w:rFonts w:hint="eastAsia" w:ascii="宋体" w:hAnsi="宋体" w:cs="宋体"/>
          <w:lang w:eastAsia="zh-CN"/>
        </w:rPr>
        <w:t>恒丰理财有限责任公司</w:t>
      </w:r>
      <w:r>
        <w:rPr>
          <w:rFonts w:hint="eastAsia" w:ascii="宋体" w:hAnsi="宋体" w:cs="宋体"/>
        </w:rPr>
        <w:t>，且不得对本报告进行有悖原意的引用、删节和修改。</w:t>
      </w:r>
    </w:p>
    <w:p>
      <w:pPr>
        <w:spacing w:line="360" w:lineRule="auto"/>
        <w:ind w:firstLine="480"/>
        <w:rPr>
          <w:szCs w:val="21"/>
        </w:rPr>
      </w:pPr>
      <w:r>
        <w:rPr>
          <w:rFonts w:hint="eastAsia" w:ascii="宋体" w:hAnsi="宋体" w:cs="宋体"/>
          <w:sz w:val="24"/>
          <w:szCs w:val="24"/>
        </w:rPr>
        <w:t>管理人</w:t>
      </w:r>
      <w:r>
        <w:rPr>
          <w:rFonts w:hint="eastAsia" w:ascii="宋体" w:hAnsi="宋体" w:cs="宋体"/>
          <w:sz w:val="24"/>
          <w:szCs w:val="24"/>
          <w:lang w:eastAsia="zh-CN"/>
        </w:rPr>
        <w:t>恒丰理财有限责任公司</w:t>
      </w:r>
      <w:r>
        <w:rPr>
          <w:rFonts w:hint="eastAsia" w:ascii="宋体" w:hAnsi="宋体" w:cs="宋体"/>
          <w:sz w:val="24"/>
          <w:szCs w:val="24"/>
        </w:rPr>
        <w:t>对于本免责声明条款具有修改和最终解释权。</w:t>
      </w:r>
    </w:p>
    <w:p>
      <w:pPr>
        <w:pStyle w:val="22"/>
        <w:ind w:left="450" w:firstLine="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78E"/>
    <w:multiLevelType w:val="multilevel"/>
    <w:tmpl w:val="13E9778E"/>
    <w:lvl w:ilvl="0" w:tentative="0">
      <w:start w:val="1"/>
      <w:numFmt w:val="decimal"/>
      <w:pStyle w:val="21"/>
      <w:suff w:val="space"/>
      <w:lvlText w:val="§%1"/>
      <w:lvlJc w:val="center"/>
      <w:pPr>
        <w:ind w:left="425" w:hanging="425"/>
      </w:pPr>
      <w:rPr>
        <w:rFonts w:hint="eastAsia"/>
      </w:rPr>
    </w:lvl>
    <w:lvl w:ilvl="1" w:tentative="0">
      <w:start w:val="1"/>
      <w:numFmt w:val="decimal"/>
      <w:pStyle w:val="20"/>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suff w:val="space"/>
      <w:lvlText w:val="%1.%2.%3.%4"/>
      <w:lvlJc w:val="left"/>
      <w:pPr>
        <w:ind w:left="1984" w:hanging="1984"/>
      </w:pPr>
      <w:rPr>
        <w:rFonts w:hint="eastAsia"/>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C43704D"/>
    <w:multiLevelType w:val="multilevel"/>
    <w:tmpl w:val="7C4370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720"/>
  <w:drawingGridVerticalSpacing w:val="156"/>
  <w:noPunctuationKerning w:val="1"/>
  <w:characterSpacingControl w:val="doNotCompress"/>
  <w:compat>
    <w:doNotLeaveBackslashAlone/>
    <w:ulTrailSpac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BB2BC3"/>
    <w:rsid w:val="2D6D6CCC"/>
    <w:rsid w:val="572D2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b/>
      <w:bCs/>
      <w:kern w:val="0"/>
      <w:sz w:val="18"/>
      <w:szCs w:val="18"/>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5">
    <w:name w:val="annotation text"/>
    <w:basedOn w:val="1"/>
    <w:link w:val="15"/>
    <w:unhideWhenUsed/>
    <w:qFormat/>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5"/>
    <w:next w:val="5"/>
    <w:link w:val="14"/>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批注主题 Char"/>
    <w:basedOn w:val="15"/>
    <w:link w:val="9"/>
    <w:semiHidden/>
    <w:qFormat/>
    <w:uiPriority w:val="99"/>
    <w:rPr>
      <w:rFonts w:ascii="Calibri" w:hAnsi="Calibri" w:eastAsia="宋体" w:cs="Times New Roman"/>
      <w:b/>
      <w:bCs/>
      <w:kern w:val="2"/>
      <w:sz w:val="21"/>
      <w:szCs w:val="22"/>
    </w:rPr>
  </w:style>
  <w:style w:type="character" w:customStyle="1" w:styleId="15">
    <w:name w:val="批注文字 Char"/>
    <w:basedOn w:val="12"/>
    <w:link w:val="5"/>
    <w:semiHidden/>
    <w:qFormat/>
    <w:uiPriority w:val="99"/>
    <w:rPr>
      <w:rFonts w:ascii="Calibri" w:hAnsi="Calibri" w:eastAsia="宋体" w:cs="Times New Roman"/>
      <w:kern w:val="2"/>
      <w:sz w:val="21"/>
      <w:szCs w:val="22"/>
    </w:rPr>
  </w:style>
  <w:style w:type="character" w:customStyle="1" w:styleId="16">
    <w:name w:val="批注框文本 Char"/>
    <w:basedOn w:val="12"/>
    <w:link w:val="2"/>
    <w:semiHidden/>
    <w:qFormat/>
    <w:uiPriority w:val="99"/>
    <w:rPr>
      <w:rFonts w:ascii="Calibri" w:hAnsi="Calibri" w:eastAsia="宋体" w:cs="Times New Roman"/>
      <w:kern w:val="2"/>
      <w:sz w:val="18"/>
      <w:szCs w:val="18"/>
    </w:rPr>
  </w:style>
  <w:style w:type="character" w:customStyle="1" w:styleId="17">
    <w:name w:val="页脚 Char"/>
    <w:basedOn w:val="12"/>
    <w:link w:val="6"/>
    <w:qFormat/>
    <w:uiPriority w:val="99"/>
    <w:rPr>
      <w:rFonts w:ascii="Calibri" w:hAnsi="Calibri" w:eastAsia="宋体" w:cs="Times New Roman"/>
      <w:kern w:val="2"/>
      <w:sz w:val="18"/>
      <w:szCs w:val="18"/>
    </w:rPr>
  </w:style>
  <w:style w:type="character" w:customStyle="1" w:styleId="18">
    <w:name w:val="页眉 Char"/>
    <w:basedOn w:val="12"/>
    <w:link w:val="7"/>
    <w:qFormat/>
    <w:uiPriority w:val="99"/>
    <w:rPr>
      <w:rFonts w:ascii="Calibri" w:hAnsi="Calibri" w:eastAsia="宋体" w:cs="Times New Roman"/>
      <w:kern w:val="2"/>
      <w:sz w:val="18"/>
      <w:szCs w:val="18"/>
    </w:rPr>
  </w:style>
  <w:style w:type="paragraph" w:customStyle="1" w:styleId="19">
    <w:name w:val="模板-正文"/>
    <w:basedOn w:val="8"/>
    <w:qFormat/>
    <w:uiPriority w:val="0"/>
    <w:pPr>
      <w:snapToGrid w:val="0"/>
      <w:spacing w:line="360" w:lineRule="auto"/>
      <w:ind w:firstLine="200"/>
    </w:pPr>
    <w:rPr>
      <w:color w:val="222222"/>
      <w:sz w:val="21"/>
      <w:szCs w:val="21"/>
    </w:rPr>
  </w:style>
  <w:style w:type="paragraph" w:customStyle="1" w:styleId="20">
    <w:name w:val="模板-标题 2"/>
    <w:basedOn w:val="4"/>
    <w:qFormat/>
    <w:uiPriority w:val="0"/>
    <w:pPr>
      <w:numPr>
        <w:ilvl w:val="1"/>
        <w:numId w:val="1"/>
      </w:numPr>
      <w:spacing w:beforeAutospacing="0"/>
      <w:ind w:left="0" w:firstLine="0"/>
      <w:jc w:val="both"/>
    </w:pPr>
    <w:rPr>
      <w:color w:val="222222"/>
      <w:sz w:val="24"/>
    </w:rPr>
  </w:style>
  <w:style w:type="paragraph" w:customStyle="1" w:styleId="21">
    <w:name w:val="模板-标题 1"/>
    <w:basedOn w:val="3"/>
    <w:qFormat/>
    <w:uiPriority w:val="0"/>
    <w:pPr>
      <w:keepNext w:val="0"/>
      <w:keepLines w:val="0"/>
      <w:widowControl/>
      <w:numPr>
        <w:ilvl w:val="0"/>
        <w:numId w:val="1"/>
      </w:numPr>
      <w:adjustRightInd w:val="0"/>
      <w:spacing w:before="100" w:beforeAutospacing="1" w:after="100" w:afterAutospacing="1" w:line="240" w:lineRule="auto"/>
      <w:ind w:left="100" w:hanging="100"/>
      <w:jc w:val="center"/>
    </w:pPr>
    <w:rPr>
      <w:rFonts w:ascii="宋体" w:hAnsi="宋体"/>
      <w:color w:val="222222"/>
      <w:kern w:val="36"/>
      <w:sz w:val="28"/>
      <w:szCs w:val="24"/>
    </w:rPr>
  </w:style>
  <w:style w:type="paragraph" w:styleId="22">
    <w:name w:val="List Paragraph"/>
    <w:basedOn w:val="1"/>
    <w:qFormat/>
    <w:uiPriority w:val="34"/>
    <w:pPr>
      <w:ind w:firstLine="420"/>
    </w:pPr>
  </w:style>
  <w:style w:type="paragraph" w:customStyle="1" w:styleId="23">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styleId="24">
    <w:name w:val="Placeholder Text"/>
    <w:basedOn w:val="12"/>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0</Words>
  <Characters>0</Characters>
  <Lines>1</Lines>
  <Paragraphs>1</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2023-03-30T11:03:00Z</dcterms:created>
  <dc:creator>Administrator</dc:creator>
  <cp:lastModifiedBy>Administrator</cp:lastModifiedBy>
  <cp:lastPrinted>2113-01-01T00:00:00Z</cp:lastPrinted>
  <dcterms:modified xsi:type="dcterms:W3CDTF">2025-03-26T01:03:28Z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137DCDF22A2D4D0CAF6A356D72774B76</vt:lpwstr>
  </property>
  <property fmtid="{D5CDD505-2E9C-101B-9397-08002B2CF9AE}" pid="3" name="KSOProductBuildVer">
    <vt:lpwstr>2052-11.8.2.12094</vt:lpwstr>
  </property>
</Properties>
</file>