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恒丰理财恒仁随心盈最短持有7天</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恒丰理财恒仁随心盈最短持有7天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HRFRWL7D01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Z7008122000025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2022年08月26日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2099年12月31日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2,567,791,615.92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其中：恒仁随心盈最短持有7天A类产品份额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2,230,089,170.94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48,202,162.19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恒仁随心盈最短持有7天私行专属C类产品份额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253,617,777.10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恒丰理财恒仁随心盈最短持有7天I类产品份额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35,882,505.69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其中：恒仁随心盈最短持有7天A类产品份额净值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恒仁随心盈最短持有7天私行专属C类产品份额净值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恒丰理财恒仁随心盈最短持有7天I类产品份额净值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其中：恒仁随心盈最短持有7天A类产品累计份额净值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恒仁随心盈最短持有7天私行专属C类产品累计份额净值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恒丰理财恒仁随心盈最短持有7天I类产品累计份额净值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2,762,290,362.85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其中：恒仁随心盈最短持有7天A类产品资产净值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2,399,047,201.40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51,691,357.67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恒仁随心盈最短持有7天私行专属C类产品资产净值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272,952,021.91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恒丰理财恒仁随心盈最短持有7天I类产品资产净值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38,599,781.87</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0.35</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5.47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94.18</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截至报告期末本产品杠杆率为113.83%</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463,542,113.12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24农发21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151,216,674.66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东吴增鑫宝B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46,206,213.94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东吴恒益纯债A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34,715,490.42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工银如意B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25,555,736.44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大成添利宝B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25,555,345.98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广发活期宝B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25,555,259.35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鹏华兴鑫宝C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25,555,135.92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24闽金K1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21,193,742.01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大成景泽中短债C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20,604,765.27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0.66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00"/>
        <w:gridCol w:w="262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42"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00"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22"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山东省金融资产管理股份有限公司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240666.SH</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24鲁金01</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11,741,935.82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333333"/>
                <w:kern w:val="0"/>
                <w:sz w:val="22"/>
                <w:szCs w:val="22"/>
                <w:u w:val="none"/>
                <w:lang w:val="en-US" w:eastAsia="zh-CN" w:bidi="ar"/>
              </w:rPr>
              <w:t>山东省金融资产管理股份有限公司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333333"/>
                <w:kern w:val="0"/>
                <w:sz w:val="22"/>
                <w:szCs w:val="22"/>
                <w:u w:val="none"/>
                <w:lang w:val="en-US" w:eastAsia="zh-CN" w:bidi="ar"/>
              </w:rPr>
              <w:t>241207.SH</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24鲁金02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12,102,456.93 </w:t>
            </w:r>
          </w:p>
        </w:tc>
      </w:tr>
    </w:tbl>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00"/>
        <w:gridCol w:w="262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42"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00"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22"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民生证券股份有限公司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253974.SH</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24日照01</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6,901,616.70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102480798.IB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24鲁国资MTN002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9,371,467.77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102480487.IB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24粤珠江MTN001</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21,192,430.11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恒丰银行股份有限公司恒仁系列丰睿稳利最短持有7天第1期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32250101100100000111</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恒丰银行苏州分行营业部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D3779D3"/>
    <w:rsid w:val="77E515BE"/>
    <w:rsid w:val="781E6FA0"/>
    <w:rsid w:val="7D9F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