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恒丰理财恒仁随心盈最短持有90天</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恒丰理财恒仁随心盈最短持有90天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HRSXY90D001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Z7008123000025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2023年06月08日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2099年12月31日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6,176,276,065.37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其中：恒仁随心盈最短持有90天A类产品份额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5,909,227,804.18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恒仁随心盈最短持有90天代发工资专属B类产品份额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267,048,261.19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其中：恒仁随心盈最短持有90天A类产品份额净值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恒仁随心盈最短持有90天代发工资专属B类产品份额净值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其中：恒仁随心盈最短持有90天A类产品累计份额净值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恒仁随心盈最短持有90天代发工资专属B类产品累计份额净值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6,508,908,707.40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其中：恒仁随心盈最短持有90天A类产品资产净值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6,227,261,087.11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恒仁随心盈最短持有90天代发工资专属B类产品资产净值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281,647,620.29</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4.38</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0.93</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94.69</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截至报告期末本产品杠杆率为114.46%</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537,230,740.65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7.21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东吴增鑫宝B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102,465,431.58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东吴恒益纯债A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81,446,911.98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信澳慧管家C</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74,279,688.11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20招商银行永续债01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64,260,563.56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海富通添益货币B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62,118,708.03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24农发31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60,377,409.04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20光大银行永续债</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54,237,874.53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工银如意B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54,016,624.45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大成添利宝B</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54,015,799.13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0.73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pStyle w:val="2"/>
        <w:rPr>
          <w:rFonts w:hint="eastAsia" w:ascii="宋体" w:hAnsi="宋体" w:cs="宋体"/>
          <w:sz w:val="24"/>
          <w:szCs w:val="24"/>
        </w:rPr>
      </w:pPr>
      <w:r>
        <w:rPr>
          <w:rFonts w:hint="eastAsia" w:ascii="宋体" w:hAnsi="宋体" w:cs="宋体"/>
          <w:sz w:val="24"/>
          <w:szCs w:val="24"/>
        </w:rPr>
        <w:t>（一）理财产品在报告期内投资关联方发行的证券的情况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00"/>
        <w:gridCol w:w="262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42"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00"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22"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山东省鲁信投资控股集团有限公司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102400765.IB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24鲁信MTN002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5,003,739.09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山东省鲁信投资控股集团有限公司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241062.SH</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24鲁信02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6,453,622.81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山东省金融资产管理股份有限公司</w:t>
            </w:r>
          </w:p>
        </w:tc>
        <w:tc>
          <w:tcPr>
            <w:tcW w:w="17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241207.SH</w:t>
            </w:r>
          </w:p>
        </w:tc>
        <w:tc>
          <w:tcPr>
            <w:tcW w:w="26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24鲁金02</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7,545,900.84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山东省金融资产管理股份有限公司</w:t>
            </w:r>
          </w:p>
        </w:tc>
        <w:tc>
          <w:tcPr>
            <w:tcW w:w="17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240666.SH</w:t>
            </w:r>
          </w:p>
        </w:tc>
        <w:tc>
          <w:tcPr>
            <w:tcW w:w="26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24鲁金01</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12,830,953.85 </w:t>
            </w:r>
          </w:p>
        </w:tc>
      </w:tr>
    </w:tbl>
    <w:p>
      <w:pPr>
        <w:pStyle w:val="2"/>
        <w:rPr>
          <w:rFonts w:hint="default" w:ascii="宋体" w:hAnsi="宋体" w:eastAsia="宋体" w:cs="宋体"/>
          <w:sz w:val="24"/>
          <w:szCs w:val="24"/>
          <w:lang w:val="en-US" w:eastAsia="zh-CN"/>
        </w:rPr>
      </w:pPr>
    </w:p>
    <w:p>
      <w:pPr>
        <w:pStyle w:val="2"/>
        <w:rPr>
          <w:rFonts w:hint="eastAsia" w:ascii="宋体" w:hAnsi="宋体" w:cs="宋体"/>
          <w:sz w:val="24"/>
          <w:szCs w:val="24"/>
        </w:rPr>
      </w:pPr>
      <w:r>
        <w:rPr>
          <w:rFonts w:hint="eastAsia" w:ascii="宋体" w:hAnsi="宋体" w:cs="宋体"/>
          <w:sz w:val="24"/>
          <w:szCs w:val="24"/>
        </w:rPr>
        <w:t>（二）理财产品在报告期内投资关联方承销的证券的情况</w:t>
      </w:r>
    </w:p>
    <w:tbl>
      <w:tblPr>
        <w:tblStyle w:val="1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00"/>
        <w:gridCol w:w="2622"/>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42"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关联方名称</w:t>
            </w:r>
          </w:p>
        </w:tc>
        <w:tc>
          <w:tcPr>
            <w:tcW w:w="1700" w:type="dxa"/>
            <w:noWrap w:val="0"/>
            <w:vAlign w:val="center"/>
          </w:tcPr>
          <w:p>
            <w:pPr>
              <w:adjustRightInd w:val="0"/>
              <w:snapToGrid w:val="0"/>
              <w:spacing w:line="300" w:lineRule="exact"/>
              <w:jc w:val="center"/>
              <w:rPr>
                <w:rFonts w:hint="eastAsia" w:ascii="宋体" w:hAnsi="宋体" w:cs="宋体"/>
                <w:bCs/>
                <w:szCs w:val="21"/>
              </w:rPr>
            </w:pPr>
            <w:r>
              <w:rPr>
                <w:rFonts w:hint="eastAsia" w:ascii="宋体" w:hAnsi="宋体" w:cs="宋体"/>
                <w:bCs/>
                <w:szCs w:val="21"/>
              </w:rPr>
              <w:t>证券代码</w:t>
            </w:r>
          </w:p>
        </w:tc>
        <w:tc>
          <w:tcPr>
            <w:tcW w:w="2622"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证券名称</w:t>
            </w:r>
          </w:p>
        </w:tc>
        <w:tc>
          <w:tcPr>
            <w:tcW w:w="1995" w:type="dxa"/>
            <w:noWrap w:val="0"/>
            <w:vAlign w:val="center"/>
          </w:tcPr>
          <w:p>
            <w:pPr>
              <w:adjustRightInd w:val="0"/>
              <w:snapToGrid w:val="0"/>
              <w:spacing w:line="300" w:lineRule="exact"/>
              <w:jc w:val="center"/>
              <w:rPr>
                <w:rFonts w:ascii="宋体" w:hAnsi="宋体" w:cs="宋体"/>
                <w:bCs/>
                <w:szCs w:val="21"/>
              </w:rPr>
            </w:pPr>
            <w:r>
              <w:rPr>
                <w:rFonts w:hint="eastAsia" w:ascii="宋体" w:hAnsi="宋体" w:cs="宋体"/>
                <w:bCs/>
                <w:szCs w:val="21"/>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102481386.IB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24太仓港MTN002</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7,059,044.64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102480767.IB</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24淮安交通MTN001</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7,186,451.14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民生证券股份有限公司</w:t>
            </w:r>
          </w:p>
        </w:tc>
        <w:tc>
          <w:tcPr>
            <w:tcW w:w="1700"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253974.SH</w:t>
            </w:r>
          </w:p>
        </w:tc>
        <w:tc>
          <w:tcPr>
            <w:tcW w:w="2622" w:type="dxa"/>
            <w:noWrap w:val="0"/>
            <w:vAlign w:val="center"/>
          </w:tcPr>
          <w:p>
            <w:pPr>
              <w:keepNext w:val="0"/>
              <w:keepLines w:val="0"/>
              <w:widowControl/>
              <w:suppressLineNumbers w:val="0"/>
              <w:jc w:val="center"/>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24日照01</w:t>
            </w:r>
          </w:p>
        </w:tc>
        <w:tc>
          <w:tcPr>
            <w:tcW w:w="1995" w:type="dxa"/>
            <w:noWrap w:val="0"/>
            <w:vAlign w:val="center"/>
          </w:tcPr>
          <w:p>
            <w:pPr>
              <w:keepNext w:val="0"/>
              <w:keepLines w:val="0"/>
              <w:widowControl/>
              <w:suppressLineNumbers w:val="0"/>
              <w:jc w:val="right"/>
              <w:textAlignment w:val="center"/>
              <w:rPr>
                <w:rFonts w:hint="eastAsia" w:ascii="宋体" w:hAnsi="宋体" w:cs="宋体"/>
                <w:bCs/>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 7,541,714.31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102482160.IB</w:t>
            </w:r>
          </w:p>
        </w:tc>
        <w:tc>
          <w:tcPr>
            <w:tcW w:w="26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24粤珠江MTN005</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15,422,889.97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102480798.IB</w:t>
            </w:r>
          </w:p>
        </w:tc>
        <w:tc>
          <w:tcPr>
            <w:tcW w:w="26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24鲁国资MTN002</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26,949,191.76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4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恒丰银行股份有限公司</w:t>
            </w:r>
          </w:p>
        </w:tc>
        <w:tc>
          <w:tcPr>
            <w:tcW w:w="17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102480487.IB</w:t>
            </w:r>
          </w:p>
        </w:tc>
        <w:tc>
          <w:tcPr>
            <w:tcW w:w="262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24粤珠江MTN001</w:t>
            </w:r>
          </w:p>
        </w:tc>
        <w:tc>
          <w:tcPr>
            <w:tcW w:w="199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54,512,718.97 </w:t>
            </w:r>
          </w:p>
        </w:tc>
      </w:tr>
    </w:tbl>
    <w:p>
      <w:pPr>
        <w:pStyle w:val="2"/>
        <w:rPr>
          <w:rFonts w:hint="eastAsia" w:ascii="宋体" w:hAnsi="宋体" w:cs="宋体"/>
          <w:sz w:val="24"/>
          <w:szCs w:val="24"/>
        </w:rPr>
      </w:pPr>
    </w:p>
    <w:p>
      <w:pPr>
        <w:pStyle w:val="2"/>
      </w:pPr>
      <w:r>
        <w:rPr>
          <w:rFonts w:hint="eastAsia" w:ascii="宋体" w:hAnsi="宋体" w:cs="宋体"/>
          <w:sz w:val="24"/>
          <w:szCs w:val="24"/>
        </w:rPr>
        <w:t>（三）理财产品在报告期内其他相关关联交易</w:t>
      </w:r>
      <w:r>
        <w:rPr>
          <w:rFonts w:ascii="宋体" w:hAnsi="宋体" w:cs="宋体"/>
          <w:sz w:val="24"/>
          <w:szCs w:val="24"/>
        </w:rPr>
        <w:t xml:space="preserve"> </w:t>
      </w:r>
    </w:p>
    <w:p>
      <w:pPr>
        <w:ind w:firstLine="72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恒丰理财有限责任公司恒仁随心盈最短持有90天</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50050101100100000199</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恒丰银行重庆分行营业部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3D23E9"/>
    <w:rsid w:val="21D1725A"/>
    <w:rsid w:val="3C67124E"/>
    <w:rsid w:val="70F0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