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1" w:line="207" w:lineRule="auto"/>
        <w:ind w:left="2380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5"/>
          <w:szCs w:val="35"/>
          <w:lang w:val="en-US" w:eastAsia="zh-CN"/>
        </w:rPr>
        <w:t>莱商</w:t>
      </w: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银行股份有限公司</w:t>
      </w:r>
    </w:p>
    <w:p>
      <w:pPr>
        <w:spacing w:before="140" w:line="238" w:lineRule="auto"/>
        <w:ind w:left="1079" w:firstLine="366" w:firstLineChars="100"/>
        <w:outlineLvl w:val="0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8"/>
          <w:sz w:val="35"/>
          <w:szCs w:val="35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8"/>
          <w:sz w:val="35"/>
          <w:szCs w:val="35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spacing w:val="8"/>
          <w:sz w:val="35"/>
          <w:szCs w:val="35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8"/>
          <w:sz w:val="35"/>
          <w:szCs w:val="35"/>
          <w:lang w:val="en-US" w:eastAsia="zh-CN"/>
        </w:rPr>
        <w:t>3</w:t>
      </w:r>
      <w:r>
        <w:rPr>
          <w:rFonts w:ascii="方正小标宋简体" w:hAnsi="方正小标宋简体" w:eastAsia="方正小标宋简体" w:cs="方正小标宋简体"/>
          <w:spacing w:val="8"/>
          <w:sz w:val="35"/>
          <w:szCs w:val="35"/>
        </w:rPr>
        <w:t>季度第三支柱信息披露报告</w:t>
      </w:r>
    </w:p>
    <w:p>
      <w:pPr>
        <w:spacing w:line="332" w:lineRule="auto"/>
        <w:rPr>
          <w:rFonts w:ascii="Arial"/>
          <w:sz w:val="21"/>
        </w:rPr>
      </w:pPr>
    </w:p>
    <w:p>
      <w:pPr>
        <w:spacing w:line="333" w:lineRule="auto"/>
        <w:rPr>
          <w:rFonts w:ascii="Arial"/>
          <w:sz w:val="21"/>
        </w:rPr>
      </w:pPr>
    </w:p>
    <w:p>
      <w:pPr>
        <w:spacing w:before="101" w:line="355" w:lineRule="auto"/>
        <w:ind w:left="37" w:right="5" w:firstLine="64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本报告根据《商业银行资本管理办法》的相关规定披露，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本报告数据为合并口径。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01" w:line="228" w:lineRule="auto"/>
        <w:ind w:left="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表格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</w:rPr>
        <w:t>KM</w:t>
      </w:r>
      <w:r>
        <w:rPr>
          <w:rFonts w:ascii="黑体" w:hAnsi="黑体" w:eastAsia="黑体" w:cs="黑体"/>
          <w:spacing w:val="8"/>
          <w:sz w:val="31"/>
          <w:szCs w:val="31"/>
        </w:rPr>
        <w:t>1：监管并表关键审慎监管指标</w:t>
      </w:r>
    </w:p>
    <w:p>
      <w:pPr>
        <w:spacing w:before="125" w:line="211" w:lineRule="auto"/>
        <w:ind w:left="6142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9"/>
          <w:sz w:val="24"/>
          <w:szCs w:val="24"/>
        </w:rPr>
        <w:t>单位：人民币万元，%</w:t>
      </w:r>
    </w:p>
    <w:tbl>
      <w:tblPr>
        <w:tblStyle w:val="4"/>
        <w:tblW w:w="8662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2397"/>
        <w:gridCol w:w="1967"/>
        <w:gridCol w:w="1883"/>
        <w:gridCol w:w="18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96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center"/>
          </w:tcPr>
          <w:p>
            <w:pPr>
              <w:pStyle w:val="5"/>
              <w:spacing w:before="323" w:line="224" w:lineRule="exact"/>
              <w:ind w:left="1147"/>
              <w:jc w:val="both"/>
              <w:rPr>
                <w:rFonts w:hint="default" w:eastAsia="FangSong_GB2312"/>
                <w:position w:val="-1"/>
                <w:lang w:val="en-US" w:eastAsia="zh-CN"/>
              </w:rPr>
            </w:pPr>
            <w:r>
              <w:rPr>
                <w:rFonts w:hint="eastAsia"/>
                <w:position w:val="-1"/>
                <w:lang w:val="en-US" w:eastAsia="zh-CN"/>
              </w:rPr>
              <w:t>a</w:t>
            </w:r>
          </w:p>
        </w:tc>
        <w:tc>
          <w:tcPr>
            <w:tcW w:w="1883" w:type="dxa"/>
            <w:vAlign w:val="center"/>
          </w:tcPr>
          <w:p>
            <w:pPr>
              <w:pStyle w:val="5"/>
              <w:spacing w:before="323" w:line="224" w:lineRule="exact"/>
              <w:ind w:left="1147"/>
              <w:jc w:val="both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position w:val="-1"/>
                <w:lang w:val="en-US" w:eastAsia="zh-CN"/>
              </w:rPr>
              <w:t>b</w:t>
            </w:r>
          </w:p>
        </w:tc>
        <w:tc>
          <w:tcPr>
            <w:tcW w:w="1849" w:type="dxa"/>
            <w:vAlign w:val="center"/>
          </w:tcPr>
          <w:p>
            <w:pPr>
              <w:pStyle w:val="5"/>
              <w:spacing w:before="225" w:line="369" w:lineRule="exact"/>
              <w:ind w:left="1069"/>
              <w:jc w:val="both"/>
              <w:rPr>
                <w:rFonts w:hint="eastAsia"/>
                <w:position w:val="1"/>
                <w:lang w:val="en-US"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96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eastAsia="FangSong_GB2312"/>
                <w:spacing w:val="-12"/>
                <w:lang w:val="en-US" w:eastAsia="zh-CN"/>
              </w:rPr>
            </w:pPr>
            <w:r>
              <w:rPr>
                <w:rFonts w:hint="eastAsia"/>
                <w:spacing w:val="-12"/>
                <w:lang w:val="en-US" w:eastAsia="zh-CN"/>
              </w:rPr>
              <w:t>2025年9月30日</w:t>
            </w:r>
          </w:p>
        </w:tc>
        <w:tc>
          <w:tcPr>
            <w:tcW w:w="188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spacing w:val="-12"/>
                <w:lang w:val="en-US" w:eastAsia="zh-CN"/>
              </w:rPr>
            </w:pPr>
            <w:r>
              <w:rPr>
                <w:rFonts w:hint="eastAsia"/>
                <w:spacing w:val="-12"/>
                <w:lang w:val="en-US" w:eastAsia="zh-CN"/>
              </w:rPr>
              <w:t>2025年6月30日</w:t>
            </w:r>
          </w:p>
        </w:tc>
        <w:tc>
          <w:tcPr>
            <w:tcW w:w="18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spacing w:val="-12"/>
                <w:lang w:val="en-US" w:eastAsia="zh-CN"/>
              </w:rPr>
            </w:pPr>
            <w:r>
              <w:rPr>
                <w:rFonts w:hint="eastAsia"/>
                <w:spacing w:val="-12"/>
                <w:lang w:val="en-US" w:eastAsia="zh-CN"/>
              </w:rPr>
              <w:t>2025年3月31日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662" w:type="dxa"/>
            <w:gridSpan w:val="5"/>
            <w:shd w:val="clear" w:color="auto" w:fill="D9D9D9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</w:pPr>
            <w:r>
              <w:rPr>
                <w:b/>
                <w:bCs/>
                <w:spacing w:val="-5"/>
              </w:rPr>
              <w:t>可用资本（数额）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66" w:type="dxa"/>
            <w:vAlign w:val="center"/>
          </w:tcPr>
          <w:p>
            <w:pPr>
              <w:pStyle w:val="5"/>
              <w:spacing w:before="254" w:line="188" w:lineRule="auto"/>
              <w:jc w:val="center"/>
            </w:pPr>
            <w:r>
              <w:t>1</w:t>
            </w:r>
          </w:p>
        </w:tc>
        <w:tc>
          <w:tcPr>
            <w:tcW w:w="2397" w:type="dxa"/>
            <w:vAlign w:val="center"/>
          </w:tcPr>
          <w:p>
            <w:pPr>
              <w:pStyle w:val="5"/>
              <w:spacing w:before="218" w:line="214" w:lineRule="auto"/>
              <w:ind w:left="10"/>
              <w:jc w:val="left"/>
            </w:pPr>
            <w:r>
              <w:rPr>
                <w:spacing w:val="-2"/>
              </w:rPr>
              <w:t>核心一级资本净额</w:t>
            </w:r>
          </w:p>
        </w:tc>
        <w:tc>
          <w:tcPr>
            <w:tcW w:w="1967" w:type="dxa"/>
            <w:vAlign w:val="center"/>
          </w:tcPr>
          <w:p>
            <w:pPr>
              <w:pStyle w:val="5"/>
              <w:spacing w:before="254" w:line="188" w:lineRule="auto"/>
              <w:jc w:val="center"/>
              <w:rPr>
                <w:rFonts w:hint="eastAsia" w:eastAsia="FangSong_GB2312"/>
                <w:lang w:val="en-US" w:eastAsia="zh-CN"/>
              </w:rPr>
            </w:pPr>
            <w:r>
              <w:rPr>
                <w:rFonts w:hint="eastAsia" w:eastAsia="FangSong_GB2312"/>
                <w:lang w:val="en-US" w:eastAsia="zh-CN"/>
              </w:rPr>
              <w:t>1,551,007.87</w:t>
            </w:r>
          </w:p>
        </w:tc>
        <w:tc>
          <w:tcPr>
            <w:tcW w:w="1883" w:type="dxa"/>
            <w:vAlign w:val="center"/>
          </w:tcPr>
          <w:p>
            <w:pPr>
              <w:pStyle w:val="5"/>
              <w:spacing w:before="254" w:line="188" w:lineRule="auto"/>
              <w:jc w:val="center"/>
              <w:rPr>
                <w:rFonts w:hint="default" w:eastAsia="FangSong_GB2312"/>
                <w:highlight w:val="none"/>
                <w:lang w:val="en-US" w:eastAsia="zh-CN"/>
              </w:rPr>
            </w:pPr>
            <w:r>
              <w:rPr>
                <w:rFonts w:hint="default" w:eastAsia="FangSong_GB2312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default" w:eastAsia="FangSong_GB2312"/>
                <w:lang w:val="en-US" w:eastAsia="zh-CN"/>
              </w:rPr>
              <w:t>614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default" w:eastAsia="FangSong_GB2312"/>
                <w:lang w:val="en-US" w:eastAsia="zh-CN"/>
              </w:rPr>
              <w:t>760.68</w:t>
            </w:r>
          </w:p>
        </w:tc>
        <w:tc>
          <w:tcPr>
            <w:tcW w:w="1849" w:type="dxa"/>
            <w:vAlign w:val="center"/>
          </w:tcPr>
          <w:p>
            <w:pPr>
              <w:pStyle w:val="5"/>
              <w:spacing w:before="254" w:line="188" w:lineRule="auto"/>
              <w:jc w:val="center"/>
              <w:rPr>
                <w:highlight w:val="none"/>
              </w:rPr>
            </w:pPr>
            <w:r>
              <w:rPr>
                <w:rFonts w:hint="eastAsia"/>
                <w:spacing w:val="-3"/>
                <w:highlight w:val="none"/>
                <w:lang w:val="en-US" w:eastAsia="zh-CN"/>
              </w:rPr>
              <w:t>1,556,680.30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76" w:hRule="atLeast"/>
        </w:trPr>
        <w:tc>
          <w:tcPr>
            <w:tcW w:w="566" w:type="dxa"/>
            <w:vAlign w:val="center"/>
          </w:tcPr>
          <w:p>
            <w:pPr>
              <w:pStyle w:val="5"/>
              <w:spacing w:before="234" w:line="188" w:lineRule="auto"/>
              <w:jc w:val="center"/>
            </w:pPr>
            <w:r>
              <w:t>2</w:t>
            </w:r>
          </w:p>
        </w:tc>
        <w:tc>
          <w:tcPr>
            <w:tcW w:w="2397" w:type="dxa"/>
            <w:vAlign w:val="center"/>
          </w:tcPr>
          <w:p>
            <w:pPr>
              <w:pStyle w:val="5"/>
              <w:spacing w:before="198" w:line="214" w:lineRule="auto"/>
              <w:jc w:val="left"/>
            </w:pPr>
            <w:r>
              <w:rPr>
                <w:spacing w:val="-5"/>
              </w:rPr>
              <w:t>一级资本净额</w:t>
            </w:r>
          </w:p>
        </w:tc>
        <w:tc>
          <w:tcPr>
            <w:tcW w:w="1967" w:type="dxa"/>
            <w:vAlign w:val="center"/>
          </w:tcPr>
          <w:p>
            <w:pPr>
              <w:pStyle w:val="5"/>
              <w:spacing w:before="254" w:line="188" w:lineRule="auto"/>
              <w:jc w:val="center"/>
              <w:rPr>
                <w:rFonts w:hint="eastAsia" w:eastAsia="FangSong_GB2312"/>
                <w:lang w:val="en-US" w:eastAsia="zh-CN"/>
              </w:rPr>
            </w:pPr>
            <w:r>
              <w:rPr>
                <w:rFonts w:hint="eastAsia" w:eastAsia="FangSong_GB2312"/>
                <w:lang w:val="en-US" w:eastAsia="zh-CN"/>
              </w:rPr>
              <w:t>1,864,103.21</w:t>
            </w:r>
          </w:p>
        </w:tc>
        <w:tc>
          <w:tcPr>
            <w:tcW w:w="1883" w:type="dxa"/>
            <w:vAlign w:val="center"/>
          </w:tcPr>
          <w:p>
            <w:pPr>
              <w:pStyle w:val="5"/>
              <w:spacing w:before="234" w:line="188" w:lineRule="auto"/>
              <w:jc w:val="center"/>
              <w:rPr>
                <w:rFonts w:hint="default" w:eastAsia="FangSong_GB2312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1,926,433.33</w:t>
            </w:r>
          </w:p>
        </w:tc>
        <w:tc>
          <w:tcPr>
            <w:tcW w:w="1849" w:type="dxa"/>
            <w:vAlign w:val="center"/>
          </w:tcPr>
          <w:p>
            <w:pPr>
              <w:pStyle w:val="5"/>
              <w:spacing w:before="234" w:line="188" w:lineRule="auto"/>
              <w:jc w:val="center"/>
              <w:rPr>
                <w:highlight w:val="none"/>
              </w:rPr>
            </w:pPr>
            <w:r>
              <w:rPr>
                <w:rFonts w:hint="eastAsia"/>
                <w:spacing w:val="-3"/>
                <w:highlight w:val="none"/>
                <w:lang w:val="en-US" w:eastAsia="zh-CN"/>
              </w:rPr>
              <w:t>1,868,584.21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566" w:type="dxa"/>
            <w:vAlign w:val="center"/>
          </w:tcPr>
          <w:p>
            <w:pPr>
              <w:pStyle w:val="5"/>
              <w:spacing w:before="235" w:line="188" w:lineRule="auto"/>
              <w:jc w:val="center"/>
            </w:pPr>
            <w:r>
              <w:t>3</w:t>
            </w:r>
          </w:p>
        </w:tc>
        <w:tc>
          <w:tcPr>
            <w:tcW w:w="2397" w:type="dxa"/>
            <w:vAlign w:val="center"/>
          </w:tcPr>
          <w:p>
            <w:pPr>
              <w:pStyle w:val="5"/>
              <w:spacing w:before="198" w:line="214" w:lineRule="auto"/>
              <w:ind w:left="24"/>
              <w:jc w:val="left"/>
            </w:pPr>
            <w:r>
              <w:rPr>
                <w:spacing w:val="-6"/>
              </w:rPr>
              <w:t>资本净额</w:t>
            </w:r>
          </w:p>
        </w:tc>
        <w:tc>
          <w:tcPr>
            <w:tcW w:w="1967" w:type="dxa"/>
            <w:vAlign w:val="center"/>
          </w:tcPr>
          <w:p>
            <w:pPr>
              <w:pStyle w:val="5"/>
              <w:spacing w:before="254" w:line="188" w:lineRule="auto"/>
              <w:jc w:val="center"/>
              <w:rPr>
                <w:rFonts w:hint="eastAsia" w:eastAsia="FangSong_GB2312"/>
                <w:lang w:val="en-US" w:eastAsia="zh-CN"/>
              </w:rPr>
            </w:pPr>
            <w:r>
              <w:rPr>
                <w:rFonts w:hint="eastAsia" w:eastAsia="FangSong_GB2312"/>
                <w:lang w:val="en-US" w:eastAsia="zh-CN"/>
              </w:rPr>
              <w:t>1,972,120.41</w:t>
            </w:r>
          </w:p>
        </w:tc>
        <w:tc>
          <w:tcPr>
            <w:tcW w:w="1883" w:type="dxa"/>
            <w:vAlign w:val="center"/>
          </w:tcPr>
          <w:p>
            <w:pPr>
              <w:pStyle w:val="5"/>
              <w:spacing w:before="234" w:line="188" w:lineRule="auto"/>
              <w:jc w:val="center"/>
              <w:rPr>
                <w:rFonts w:hint="default" w:eastAsia="FangSong_GB2312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2,044,191.52</w:t>
            </w:r>
          </w:p>
        </w:tc>
        <w:tc>
          <w:tcPr>
            <w:tcW w:w="1849" w:type="dxa"/>
            <w:vAlign w:val="center"/>
          </w:tcPr>
          <w:p>
            <w:pPr>
              <w:pStyle w:val="5"/>
              <w:spacing w:before="234" w:line="188" w:lineRule="auto"/>
              <w:jc w:val="center"/>
              <w:rPr>
                <w:highlight w:val="none"/>
              </w:rPr>
            </w:pPr>
            <w:r>
              <w:rPr>
                <w:rFonts w:hint="eastAsia"/>
                <w:spacing w:val="-2"/>
                <w:highlight w:val="none"/>
                <w:lang w:val="en-US" w:eastAsia="zh-CN"/>
              </w:rPr>
              <w:t>1,961,592.26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8662" w:type="dxa"/>
            <w:gridSpan w:val="5"/>
            <w:shd w:val="clear" w:color="auto" w:fill="D9D9D9"/>
            <w:vAlign w:val="center"/>
          </w:tcPr>
          <w:p>
            <w:pPr>
              <w:pStyle w:val="5"/>
              <w:spacing w:before="174" w:line="215" w:lineRule="auto"/>
              <w:ind w:left="21"/>
              <w:jc w:val="center"/>
            </w:pPr>
            <w:r>
              <w:rPr>
                <w:b/>
                <w:bCs/>
                <w:spacing w:val="-4"/>
              </w:rPr>
              <w:t>风险加权资产（数额）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66" w:type="dxa"/>
            <w:vAlign w:val="center"/>
          </w:tcPr>
          <w:p>
            <w:pPr>
              <w:pStyle w:val="5"/>
              <w:spacing w:before="259" w:line="188" w:lineRule="auto"/>
              <w:jc w:val="center"/>
            </w:pPr>
            <w:r>
              <w:t>4</w:t>
            </w:r>
          </w:p>
        </w:tc>
        <w:tc>
          <w:tcPr>
            <w:tcW w:w="2397" w:type="dxa"/>
            <w:vAlign w:val="center"/>
          </w:tcPr>
          <w:p>
            <w:pPr>
              <w:pStyle w:val="5"/>
              <w:spacing w:before="223" w:line="215" w:lineRule="auto"/>
              <w:ind w:left="13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风险加权资产</w:t>
            </w:r>
          </w:p>
        </w:tc>
        <w:tc>
          <w:tcPr>
            <w:tcW w:w="19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15,901,071.85</w:t>
            </w:r>
          </w:p>
        </w:tc>
        <w:tc>
          <w:tcPr>
            <w:tcW w:w="1883" w:type="dxa"/>
            <w:vAlign w:val="center"/>
          </w:tcPr>
          <w:p>
            <w:pPr>
              <w:pStyle w:val="5"/>
              <w:spacing w:before="259" w:line="188" w:lineRule="auto"/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15,667,001.52</w:t>
            </w:r>
          </w:p>
        </w:tc>
        <w:tc>
          <w:tcPr>
            <w:tcW w:w="1849" w:type="dxa"/>
            <w:vAlign w:val="center"/>
          </w:tcPr>
          <w:p>
            <w:pPr>
              <w:pStyle w:val="5"/>
              <w:spacing w:before="259" w:line="188" w:lineRule="auto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  <w:lang w:val="en-US" w:eastAsia="zh-CN"/>
              </w:rPr>
              <w:t>15,312,591.35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662" w:type="dxa"/>
            <w:gridSpan w:val="5"/>
            <w:shd w:val="clear" w:color="auto" w:fill="D9D9D9"/>
            <w:vAlign w:val="center"/>
          </w:tcPr>
          <w:p>
            <w:pPr>
              <w:pStyle w:val="5"/>
              <w:spacing w:before="179" w:line="214" w:lineRule="auto"/>
              <w:ind w:left="32"/>
              <w:jc w:val="both"/>
            </w:pPr>
            <w:r>
              <w:rPr>
                <w:b/>
                <w:bCs/>
                <w:spacing w:val="-7"/>
              </w:rPr>
              <w:t>资本充足率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66" w:type="dxa"/>
            <w:vAlign w:val="center"/>
          </w:tcPr>
          <w:p>
            <w:pPr>
              <w:pStyle w:val="5"/>
              <w:spacing w:before="306" w:line="185" w:lineRule="auto"/>
              <w:jc w:val="center"/>
            </w:pPr>
            <w:r>
              <w:t>5</w:t>
            </w:r>
          </w:p>
        </w:tc>
        <w:tc>
          <w:tcPr>
            <w:tcW w:w="2397" w:type="dxa"/>
            <w:vAlign w:val="center"/>
          </w:tcPr>
          <w:p>
            <w:pPr>
              <w:pStyle w:val="5"/>
              <w:spacing w:before="266" w:line="214" w:lineRule="auto"/>
              <w:jc w:val="left"/>
            </w:pPr>
            <w:r>
              <w:rPr>
                <w:spacing w:val="-21"/>
              </w:rPr>
              <w:t>核心一级资本充足率（%）</w:t>
            </w:r>
          </w:p>
        </w:tc>
        <w:tc>
          <w:tcPr>
            <w:tcW w:w="1967" w:type="dxa"/>
            <w:vAlign w:val="center"/>
          </w:tcPr>
          <w:p>
            <w:pPr>
              <w:pStyle w:val="5"/>
              <w:spacing w:before="303" w:line="188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9.75</w:t>
            </w:r>
          </w:p>
        </w:tc>
        <w:tc>
          <w:tcPr>
            <w:tcW w:w="1883" w:type="dxa"/>
            <w:vAlign w:val="center"/>
          </w:tcPr>
          <w:p>
            <w:pPr>
              <w:pStyle w:val="5"/>
              <w:spacing w:before="303" w:line="188" w:lineRule="auto"/>
              <w:jc w:val="center"/>
            </w:pPr>
            <w:r>
              <w:rPr>
                <w:rFonts w:hint="eastAsia"/>
                <w:lang w:val="en-US" w:eastAsia="zh-CN"/>
              </w:rPr>
              <w:t>10.31</w:t>
            </w:r>
          </w:p>
        </w:tc>
        <w:tc>
          <w:tcPr>
            <w:tcW w:w="1849" w:type="dxa"/>
            <w:vAlign w:val="center"/>
          </w:tcPr>
          <w:p>
            <w:pPr>
              <w:pStyle w:val="5"/>
              <w:spacing w:before="303" w:line="188" w:lineRule="auto"/>
              <w:jc w:val="center"/>
            </w:pPr>
            <w:r>
              <w:rPr>
                <w:rFonts w:hint="eastAsia"/>
                <w:lang w:val="en-US" w:eastAsia="zh-CN"/>
              </w:rPr>
              <w:t>10.17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66" w:type="dxa"/>
            <w:vAlign w:val="center"/>
          </w:tcPr>
          <w:p>
            <w:pPr>
              <w:pStyle w:val="5"/>
              <w:spacing w:before="305" w:line="188" w:lineRule="auto"/>
              <w:jc w:val="center"/>
            </w:pPr>
            <w:r>
              <w:t>6</w:t>
            </w:r>
          </w:p>
        </w:tc>
        <w:tc>
          <w:tcPr>
            <w:tcW w:w="239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一级资本充足率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</w:pPr>
            <w:r>
              <w:rPr>
                <w:spacing w:val="-3"/>
              </w:rPr>
              <w:t>（%）</w:t>
            </w:r>
          </w:p>
        </w:tc>
        <w:tc>
          <w:tcPr>
            <w:tcW w:w="1967" w:type="dxa"/>
            <w:vAlign w:val="center"/>
          </w:tcPr>
          <w:p>
            <w:pPr>
              <w:pStyle w:val="5"/>
              <w:spacing w:before="303" w:line="188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11.72</w:t>
            </w:r>
          </w:p>
        </w:tc>
        <w:tc>
          <w:tcPr>
            <w:tcW w:w="1883" w:type="dxa"/>
            <w:vAlign w:val="center"/>
          </w:tcPr>
          <w:p>
            <w:pPr>
              <w:pStyle w:val="5"/>
              <w:spacing w:before="303" w:line="188" w:lineRule="auto"/>
              <w:jc w:val="center"/>
              <w:rPr>
                <w:rFonts w:hint="default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2.30</w:t>
            </w:r>
          </w:p>
        </w:tc>
        <w:tc>
          <w:tcPr>
            <w:tcW w:w="1849" w:type="dxa"/>
            <w:vAlign w:val="center"/>
          </w:tcPr>
          <w:p>
            <w:pPr>
              <w:pStyle w:val="5"/>
              <w:spacing w:before="303" w:line="188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566" w:type="dxa"/>
            <w:vAlign w:val="center"/>
          </w:tcPr>
          <w:p>
            <w:pPr>
              <w:pStyle w:val="5"/>
              <w:spacing w:before="247" w:line="185" w:lineRule="auto"/>
              <w:jc w:val="center"/>
            </w:pPr>
            <w:r>
              <w:t>7</w:t>
            </w:r>
          </w:p>
        </w:tc>
        <w:tc>
          <w:tcPr>
            <w:tcW w:w="2397" w:type="dxa"/>
            <w:vAlign w:val="center"/>
          </w:tcPr>
          <w:p>
            <w:pPr>
              <w:pStyle w:val="5"/>
              <w:spacing w:before="206" w:line="214" w:lineRule="auto"/>
              <w:ind w:left="24"/>
              <w:jc w:val="left"/>
            </w:pPr>
            <w:r>
              <w:rPr>
                <w:spacing w:val="-3"/>
              </w:rPr>
              <w:t>资本充足率（%）</w:t>
            </w:r>
          </w:p>
        </w:tc>
        <w:tc>
          <w:tcPr>
            <w:tcW w:w="1967" w:type="dxa"/>
            <w:vAlign w:val="center"/>
          </w:tcPr>
          <w:p>
            <w:pPr>
              <w:pStyle w:val="5"/>
              <w:spacing w:before="303" w:line="188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12.40</w:t>
            </w:r>
          </w:p>
        </w:tc>
        <w:tc>
          <w:tcPr>
            <w:tcW w:w="1883" w:type="dxa"/>
            <w:vAlign w:val="center"/>
          </w:tcPr>
          <w:p>
            <w:pPr>
              <w:pStyle w:val="5"/>
              <w:spacing w:before="303" w:line="188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13.05</w:t>
            </w:r>
          </w:p>
        </w:tc>
        <w:tc>
          <w:tcPr>
            <w:tcW w:w="1849" w:type="dxa"/>
            <w:vAlign w:val="center"/>
          </w:tcPr>
          <w:p>
            <w:pPr>
              <w:pStyle w:val="5"/>
              <w:spacing w:before="303" w:line="188" w:lineRule="auto"/>
              <w:jc w:val="center"/>
            </w:pPr>
            <w:r>
              <w:rPr>
                <w:rFonts w:hint="eastAsia"/>
                <w:lang w:val="en-US" w:eastAsia="zh-CN"/>
              </w:rPr>
              <w:t>12.81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712" w:bottom="0" w:left="1775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64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2414"/>
        <w:gridCol w:w="1851"/>
        <w:gridCol w:w="1903"/>
        <w:gridCol w:w="19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646" w:type="dxa"/>
            <w:gridSpan w:val="5"/>
            <w:tcBorders>
              <w:top w:val="nil"/>
            </w:tcBorders>
            <w:shd w:val="clear" w:color="auto" w:fill="D9D9D9"/>
            <w:vAlign w:val="top"/>
          </w:tcPr>
          <w:p>
            <w:pPr>
              <w:pStyle w:val="5"/>
              <w:spacing w:before="192" w:line="215" w:lineRule="auto"/>
              <w:ind w:left="20"/>
            </w:pPr>
            <w:r>
              <w:rPr>
                <w:b/>
                <w:bCs/>
                <w:spacing w:val="-4"/>
              </w:rPr>
              <w:t>其他各级资本要求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566" w:type="dxa"/>
            <w:vAlign w:val="top"/>
          </w:tcPr>
          <w:p>
            <w:pPr>
              <w:pStyle w:val="5"/>
              <w:spacing w:before="326" w:line="188" w:lineRule="auto"/>
              <w:jc w:val="center"/>
            </w:pPr>
            <w:r>
              <w:t>8</w:t>
            </w:r>
          </w:p>
        </w:tc>
        <w:tc>
          <w:tcPr>
            <w:tcW w:w="2414" w:type="dxa"/>
            <w:vAlign w:val="top"/>
          </w:tcPr>
          <w:p>
            <w:pPr>
              <w:pStyle w:val="5"/>
              <w:spacing w:before="290" w:line="215" w:lineRule="auto"/>
              <w:ind w:left="6"/>
            </w:pPr>
            <w:r>
              <w:rPr>
                <w:spacing w:val="-1"/>
              </w:rPr>
              <w:t>储备资本要求（%）</w:t>
            </w:r>
          </w:p>
        </w:tc>
        <w:tc>
          <w:tcPr>
            <w:tcW w:w="185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FangSong_GB2312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2.5</w:t>
            </w:r>
          </w:p>
        </w:tc>
        <w:tc>
          <w:tcPr>
            <w:tcW w:w="190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7"/>
              </w:rPr>
              <w:t>2.5</w:t>
            </w:r>
          </w:p>
        </w:tc>
        <w:tc>
          <w:tcPr>
            <w:tcW w:w="191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7"/>
              </w:rPr>
              <w:t>2.5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566" w:type="dxa"/>
            <w:vAlign w:val="top"/>
          </w:tcPr>
          <w:p>
            <w:pPr>
              <w:pStyle w:val="5"/>
              <w:spacing w:before="303" w:line="188" w:lineRule="auto"/>
              <w:jc w:val="center"/>
            </w:pPr>
            <w:r>
              <w:t>9</w:t>
            </w:r>
          </w:p>
        </w:tc>
        <w:tc>
          <w:tcPr>
            <w:tcW w:w="2414" w:type="dxa"/>
            <w:vAlign w:val="top"/>
          </w:tcPr>
          <w:p>
            <w:pPr>
              <w:pStyle w:val="5"/>
              <w:spacing w:before="267" w:line="215" w:lineRule="auto"/>
              <w:ind w:left="20"/>
            </w:pPr>
            <w:r>
              <w:rPr>
                <w:spacing w:val="-2"/>
              </w:rPr>
              <w:t>逆周期资本要求（%）</w:t>
            </w:r>
          </w:p>
        </w:tc>
        <w:tc>
          <w:tcPr>
            <w:tcW w:w="185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FangSong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90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t>0</w:t>
            </w:r>
          </w:p>
        </w:tc>
        <w:tc>
          <w:tcPr>
            <w:tcW w:w="191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</w:trPr>
        <w:tc>
          <w:tcPr>
            <w:tcW w:w="566" w:type="dxa"/>
            <w:vAlign w:val="top"/>
          </w:tcPr>
          <w:p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3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188" w:lineRule="auto"/>
              <w:jc w:val="center"/>
            </w:pPr>
            <w:r>
              <w:rPr>
                <w:spacing w:val="-14"/>
              </w:rPr>
              <w:t>10</w:t>
            </w:r>
          </w:p>
        </w:tc>
        <w:tc>
          <w:tcPr>
            <w:tcW w:w="2414" w:type="dxa"/>
            <w:vAlign w:val="top"/>
          </w:tcPr>
          <w:p>
            <w:pPr>
              <w:pStyle w:val="5"/>
              <w:spacing w:before="224" w:line="383" w:lineRule="auto"/>
              <w:ind w:left="11" w:right="185" w:hanging="1"/>
              <w:jc w:val="both"/>
            </w:pPr>
            <w:r>
              <w:rPr>
                <w:spacing w:val="-1"/>
              </w:rPr>
              <w:t>全球系统重要性银行或</w:t>
            </w:r>
            <w:r>
              <w:t xml:space="preserve"> </w:t>
            </w:r>
            <w:r>
              <w:rPr>
                <w:spacing w:val="-2"/>
              </w:rPr>
              <w:t>国内系统重要性银行附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加资本要求（%）</w:t>
            </w:r>
          </w:p>
        </w:tc>
        <w:tc>
          <w:tcPr>
            <w:tcW w:w="1851" w:type="dxa"/>
            <w:shd w:val="clear" w:color="auto" w:fill="BEBEB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03" w:type="dxa"/>
            <w:shd w:val="clear" w:color="auto" w:fill="BEBEB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12" w:type="dxa"/>
            <w:shd w:val="clear" w:color="auto" w:fill="BEBEB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</w:trPr>
        <w:tc>
          <w:tcPr>
            <w:tcW w:w="566" w:type="dxa"/>
            <w:vAlign w:val="top"/>
          </w:tcPr>
          <w:p>
            <w:pPr>
              <w:spacing w:line="466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188" w:lineRule="auto"/>
              <w:jc w:val="center"/>
            </w:pPr>
            <w:r>
              <w:rPr>
                <w:spacing w:val="-14"/>
              </w:rPr>
              <w:t>11</w:t>
            </w:r>
          </w:p>
        </w:tc>
        <w:tc>
          <w:tcPr>
            <w:tcW w:w="2414" w:type="dxa"/>
            <w:vAlign w:val="top"/>
          </w:tcPr>
          <w:p>
            <w:pPr>
              <w:pStyle w:val="5"/>
              <w:spacing w:before="212" w:line="364" w:lineRule="auto"/>
              <w:ind w:left="1" w:right="43" w:firstLine="10"/>
            </w:pPr>
            <w:r>
              <w:rPr>
                <w:spacing w:val="-1"/>
              </w:rPr>
              <w:t>其他各级资本要求（%）</w:t>
            </w:r>
            <w:r>
              <w:rPr>
                <w:spacing w:val="1"/>
              </w:rPr>
              <w:t xml:space="preserve"> </w:t>
            </w:r>
            <w:r>
              <w:t>（8+9+10）</w:t>
            </w:r>
          </w:p>
        </w:tc>
        <w:tc>
          <w:tcPr>
            <w:tcW w:w="185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FangSong_GB2312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2.5</w:t>
            </w:r>
          </w:p>
        </w:tc>
        <w:tc>
          <w:tcPr>
            <w:tcW w:w="190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7"/>
              </w:rPr>
              <w:t>2.5</w:t>
            </w:r>
          </w:p>
        </w:tc>
        <w:tc>
          <w:tcPr>
            <w:tcW w:w="191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7"/>
              </w:rPr>
              <w:t>2.5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7" w:hRule="atLeast"/>
        </w:trPr>
        <w:tc>
          <w:tcPr>
            <w:tcW w:w="566" w:type="dxa"/>
            <w:vAlign w:val="top"/>
          </w:tcPr>
          <w:p>
            <w:pPr>
              <w:spacing w:line="27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7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7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78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188" w:lineRule="auto"/>
              <w:jc w:val="center"/>
            </w:pPr>
            <w:r>
              <w:rPr>
                <w:spacing w:val="-14"/>
              </w:rPr>
              <w:t>12</w:t>
            </w:r>
          </w:p>
        </w:tc>
        <w:tc>
          <w:tcPr>
            <w:tcW w:w="2414" w:type="dxa"/>
            <w:vAlign w:val="top"/>
          </w:tcPr>
          <w:p>
            <w:pPr>
              <w:pStyle w:val="5"/>
              <w:spacing w:before="238" w:line="392" w:lineRule="auto"/>
              <w:ind w:left="1" w:right="185" w:firstLine="22"/>
              <w:jc w:val="both"/>
            </w:pPr>
            <w:r>
              <w:rPr>
                <w:spacing w:val="-3"/>
              </w:rPr>
              <w:t>满足最低资本要求后的</w:t>
            </w:r>
            <w:r>
              <w:rPr>
                <w:spacing w:val="6"/>
              </w:rPr>
              <w:t xml:space="preserve"> </w:t>
            </w:r>
            <w:r>
              <w:t>可用核心一级资本净额 占风险加权资产的比例 （%）</w:t>
            </w:r>
          </w:p>
        </w:tc>
        <w:tc>
          <w:tcPr>
            <w:tcW w:w="185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FangSong_GB2312"/>
                <w:spacing w:val="-8"/>
                <w:highlight w:val="none"/>
                <w:lang w:val="en-US" w:eastAsia="zh-CN"/>
              </w:rPr>
            </w:pPr>
            <w:r>
              <w:rPr>
                <w:rFonts w:hint="eastAsia"/>
                <w:spacing w:val="-8"/>
                <w:highlight w:val="none"/>
                <w:lang w:val="en-US" w:eastAsia="zh-CN"/>
              </w:rPr>
              <w:t>4.75</w:t>
            </w:r>
          </w:p>
        </w:tc>
        <w:tc>
          <w:tcPr>
            <w:tcW w:w="1903" w:type="dxa"/>
            <w:vAlign w:val="center"/>
          </w:tcPr>
          <w:p>
            <w:pPr>
              <w:pStyle w:val="5"/>
              <w:spacing w:before="91" w:line="188" w:lineRule="auto"/>
              <w:jc w:val="center"/>
              <w:rPr>
                <w:highlight w:val="none"/>
              </w:rPr>
            </w:pPr>
            <w:r>
              <w:rPr>
                <w:rFonts w:hint="eastAsia"/>
                <w:spacing w:val="-8"/>
                <w:highlight w:val="none"/>
                <w:lang w:val="en-US" w:eastAsia="zh-CN"/>
              </w:rPr>
              <w:t>5.3</w:t>
            </w:r>
            <w:r>
              <w:rPr>
                <w:spacing w:val="-8"/>
                <w:highlight w:val="none"/>
              </w:rPr>
              <w:t>1</w:t>
            </w:r>
          </w:p>
        </w:tc>
        <w:tc>
          <w:tcPr>
            <w:tcW w:w="1912" w:type="dxa"/>
            <w:vAlign w:val="center"/>
          </w:tcPr>
          <w:p>
            <w:pPr>
              <w:pStyle w:val="5"/>
              <w:spacing w:before="91" w:line="188" w:lineRule="auto"/>
              <w:jc w:val="center"/>
              <w:rPr>
                <w:rFonts w:hint="eastAsia" w:eastAsia="FangSong_GB2312"/>
                <w:highlight w:val="none"/>
                <w:lang w:eastAsia="zh-CN"/>
              </w:rPr>
            </w:pPr>
            <w:r>
              <w:rPr>
                <w:rFonts w:hint="eastAsia"/>
                <w:spacing w:val="-8"/>
                <w:highlight w:val="none"/>
                <w:lang w:val="en-US" w:eastAsia="zh-CN"/>
              </w:rPr>
              <w:t>5.17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646" w:type="dxa"/>
            <w:gridSpan w:val="5"/>
            <w:shd w:val="clear" w:color="auto" w:fill="D9D9D9"/>
            <w:vAlign w:val="top"/>
          </w:tcPr>
          <w:p>
            <w:pPr>
              <w:pStyle w:val="5"/>
              <w:spacing w:before="178" w:line="214" w:lineRule="auto"/>
              <w:ind w:left="22"/>
            </w:pPr>
            <w:r>
              <w:rPr>
                <w:b/>
                <w:bCs/>
                <w:spacing w:val="-7"/>
              </w:rPr>
              <w:t>杠杆率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66" w:type="dxa"/>
            <w:vAlign w:val="top"/>
          </w:tcPr>
          <w:p>
            <w:pPr>
              <w:pStyle w:val="5"/>
              <w:spacing w:before="229" w:line="188" w:lineRule="auto"/>
              <w:jc w:val="center"/>
            </w:pPr>
            <w:r>
              <w:rPr>
                <w:spacing w:val="-14"/>
              </w:rPr>
              <w:t>13</w:t>
            </w:r>
          </w:p>
        </w:tc>
        <w:tc>
          <w:tcPr>
            <w:tcW w:w="2414" w:type="dxa"/>
            <w:vAlign w:val="top"/>
          </w:tcPr>
          <w:p>
            <w:pPr>
              <w:pStyle w:val="5"/>
              <w:spacing w:before="192" w:line="215" w:lineRule="auto"/>
              <w:ind w:left="11"/>
            </w:pPr>
            <w:r>
              <w:rPr>
                <w:spacing w:val="-2"/>
              </w:rPr>
              <w:t>调整后表内外资产余额</w:t>
            </w:r>
          </w:p>
        </w:tc>
        <w:tc>
          <w:tcPr>
            <w:tcW w:w="1851" w:type="dxa"/>
            <w:vAlign w:val="center"/>
          </w:tcPr>
          <w:p>
            <w:pPr>
              <w:pStyle w:val="5"/>
              <w:spacing w:before="228" w:line="188" w:lineRule="auto"/>
              <w:jc w:val="center"/>
              <w:rPr>
                <w:rFonts w:hint="default"/>
                <w:spacing w:val="-3"/>
                <w:highlight w:val="none"/>
                <w:lang w:val="en-US" w:eastAsia="zh-CN"/>
              </w:rPr>
            </w:pPr>
            <w:r>
              <w:rPr>
                <w:rFonts w:hint="eastAsia"/>
                <w:spacing w:val="-3"/>
                <w:highlight w:val="none"/>
                <w:lang w:val="en-US" w:eastAsia="zh-CN"/>
              </w:rPr>
              <w:t>29,323,796.63</w:t>
            </w:r>
          </w:p>
        </w:tc>
        <w:tc>
          <w:tcPr>
            <w:tcW w:w="1903" w:type="dxa"/>
            <w:vAlign w:val="center"/>
          </w:tcPr>
          <w:p>
            <w:pPr>
              <w:pStyle w:val="5"/>
              <w:spacing w:before="228" w:line="188" w:lineRule="auto"/>
              <w:jc w:val="center"/>
              <w:rPr>
                <w:highlight w:val="none"/>
              </w:rPr>
            </w:pPr>
            <w:r>
              <w:rPr>
                <w:rFonts w:hint="eastAsia"/>
                <w:spacing w:val="-3"/>
                <w:highlight w:val="none"/>
                <w:lang w:val="en-US" w:eastAsia="zh-CN"/>
              </w:rPr>
              <w:t>29,601,977.61</w:t>
            </w:r>
          </w:p>
        </w:tc>
        <w:tc>
          <w:tcPr>
            <w:tcW w:w="1912" w:type="dxa"/>
            <w:vAlign w:val="center"/>
          </w:tcPr>
          <w:p>
            <w:pPr>
              <w:pStyle w:val="5"/>
              <w:spacing w:before="228" w:line="188" w:lineRule="auto"/>
              <w:jc w:val="center"/>
              <w:rPr>
                <w:highlight w:val="none"/>
              </w:rPr>
            </w:pPr>
            <w:r>
              <w:rPr>
                <w:rFonts w:hint="default"/>
                <w:spacing w:val="-5"/>
                <w:lang w:val="en-US" w:eastAsia="zh-CN"/>
              </w:rPr>
              <w:t>28</w:t>
            </w:r>
            <w:r>
              <w:rPr>
                <w:rFonts w:hint="eastAsia"/>
                <w:spacing w:val="-5"/>
                <w:lang w:val="en-US" w:eastAsia="zh-CN"/>
              </w:rPr>
              <w:t>,</w:t>
            </w:r>
            <w:r>
              <w:rPr>
                <w:rFonts w:hint="default"/>
                <w:spacing w:val="-5"/>
                <w:lang w:val="en-US" w:eastAsia="zh-CN"/>
              </w:rPr>
              <w:t>049</w:t>
            </w:r>
            <w:r>
              <w:rPr>
                <w:rFonts w:hint="eastAsia"/>
                <w:spacing w:val="-5"/>
                <w:lang w:val="en-US" w:eastAsia="zh-CN"/>
              </w:rPr>
              <w:t>,</w:t>
            </w:r>
            <w:r>
              <w:rPr>
                <w:rFonts w:hint="default"/>
                <w:spacing w:val="-5"/>
                <w:lang w:val="en-US" w:eastAsia="zh-CN"/>
              </w:rPr>
              <w:t>710.19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66" w:type="dxa"/>
            <w:vAlign w:val="top"/>
          </w:tcPr>
          <w:p>
            <w:pPr>
              <w:pStyle w:val="5"/>
              <w:spacing w:before="230" w:line="188" w:lineRule="auto"/>
              <w:jc w:val="center"/>
            </w:pPr>
            <w:r>
              <w:rPr>
                <w:spacing w:val="-14"/>
              </w:rPr>
              <w:t>14</w:t>
            </w:r>
          </w:p>
        </w:tc>
        <w:tc>
          <w:tcPr>
            <w:tcW w:w="2414" w:type="dxa"/>
            <w:vAlign w:val="top"/>
          </w:tcPr>
          <w:p>
            <w:pPr>
              <w:pStyle w:val="5"/>
              <w:spacing w:before="194" w:line="214" w:lineRule="auto"/>
              <w:ind w:left="14"/>
            </w:pPr>
            <w:r>
              <w:rPr>
                <w:spacing w:val="-2"/>
              </w:rPr>
              <w:t>杠杆率（%）</w:t>
            </w:r>
          </w:p>
        </w:tc>
        <w:tc>
          <w:tcPr>
            <w:tcW w:w="1851" w:type="dxa"/>
            <w:vAlign w:val="center"/>
          </w:tcPr>
          <w:p>
            <w:pPr>
              <w:pStyle w:val="5"/>
              <w:spacing w:before="228" w:line="188" w:lineRule="auto"/>
              <w:jc w:val="center"/>
              <w:rPr>
                <w:rFonts w:hint="default"/>
                <w:spacing w:val="-3"/>
                <w:highlight w:val="none"/>
                <w:lang w:val="en-US" w:eastAsia="zh-CN"/>
              </w:rPr>
            </w:pPr>
            <w:r>
              <w:rPr>
                <w:rFonts w:hint="eastAsia"/>
                <w:spacing w:val="-3"/>
                <w:highlight w:val="none"/>
                <w:lang w:val="en-US" w:eastAsia="zh-CN"/>
              </w:rPr>
              <w:t>6.36</w:t>
            </w:r>
          </w:p>
        </w:tc>
        <w:tc>
          <w:tcPr>
            <w:tcW w:w="1903" w:type="dxa"/>
            <w:vAlign w:val="center"/>
          </w:tcPr>
          <w:p>
            <w:pPr>
              <w:pStyle w:val="5"/>
              <w:spacing w:before="230" w:line="188" w:lineRule="auto"/>
              <w:jc w:val="center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6.</w:t>
            </w:r>
            <w:r>
              <w:rPr>
                <w:rFonts w:hint="eastAsia"/>
                <w:spacing w:val="-6"/>
                <w:highlight w:val="none"/>
                <w:lang w:val="en-US" w:eastAsia="zh-CN"/>
              </w:rPr>
              <w:t>51</w:t>
            </w:r>
          </w:p>
        </w:tc>
        <w:tc>
          <w:tcPr>
            <w:tcW w:w="1912" w:type="dxa"/>
            <w:vAlign w:val="center"/>
          </w:tcPr>
          <w:p>
            <w:pPr>
              <w:pStyle w:val="5"/>
              <w:spacing w:before="230" w:line="188" w:lineRule="auto"/>
              <w:jc w:val="center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6.</w:t>
            </w:r>
            <w:r>
              <w:rPr>
                <w:rFonts w:hint="eastAsia"/>
                <w:spacing w:val="-6"/>
                <w:highlight w:val="none"/>
                <w:lang w:val="en-US" w:eastAsia="zh-CN"/>
              </w:rPr>
              <w:t>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66" w:type="dxa"/>
            <w:vAlign w:val="top"/>
          </w:tcPr>
          <w:p>
            <w:pPr>
              <w:pStyle w:val="5"/>
              <w:spacing w:before="233" w:line="188" w:lineRule="auto"/>
              <w:jc w:val="center"/>
            </w:pPr>
            <w:r>
              <w:rPr>
                <w:spacing w:val="-9"/>
              </w:rPr>
              <w:t>14a</w:t>
            </w:r>
          </w:p>
        </w:tc>
        <w:tc>
          <w:tcPr>
            <w:tcW w:w="2414" w:type="dxa"/>
            <w:vAlign w:val="top"/>
          </w:tcPr>
          <w:p>
            <w:pPr>
              <w:pStyle w:val="5"/>
              <w:spacing w:before="196" w:line="214" w:lineRule="auto"/>
              <w:ind w:left="14"/>
            </w:pPr>
            <w:r>
              <w:rPr>
                <w:spacing w:val="-4"/>
              </w:rPr>
              <w:t>杠杆率a（%）</w:t>
            </w:r>
          </w:p>
        </w:tc>
        <w:tc>
          <w:tcPr>
            <w:tcW w:w="1851" w:type="dxa"/>
            <w:vAlign w:val="center"/>
          </w:tcPr>
          <w:p>
            <w:pPr>
              <w:pStyle w:val="5"/>
              <w:spacing w:before="228" w:line="188" w:lineRule="auto"/>
              <w:jc w:val="center"/>
              <w:rPr>
                <w:rFonts w:hint="default"/>
                <w:spacing w:val="-3"/>
                <w:highlight w:val="none"/>
                <w:lang w:val="en-US" w:eastAsia="zh-CN"/>
              </w:rPr>
            </w:pPr>
            <w:r>
              <w:rPr>
                <w:rFonts w:hint="eastAsia"/>
                <w:spacing w:val="-3"/>
                <w:highlight w:val="none"/>
                <w:lang w:val="en-US" w:eastAsia="zh-CN"/>
              </w:rPr>
              <w:t>6.36</w:t>
            </w:r>
          </w:p>
        </w:tc>
        <w:tc>
          <w:tcPr>
            <w:tcW w:w="1903" w:type="dxa"/>
            <w:vAlign w:val="center"/>
          </w:tcPr>
          <w:p>
            <w:pPr>
              <w:pStyle w:val="5"/>
              <w:spacing w:before="232" w:line="188" w:lineRule="auto"/>
              <w:jc w:val="center"/>
              <w:rPr>
                <w:rFonts w:hint="default" w:eastAsia="FangSong_GB2312"/>
                <w:highlight w:val="none"/>
                <w:lang w:val="en-US" w:eastAsia="zh-CN"/>
              </w:rPr>
            </w:pPr>
            <w:r>
              <w:rPr>
                <w:spacing w:val="-6"/>
                <w:highlight w:val="none"/>
              </w:rPr>
              <w:t>6.</w:t>
            </w:r>
            <w:r>
              <w:rPr>
                <w:rFonts w:hint="eastAsia"/>
                <w:spacing w:val="-6"/>
                <w:highlight w:val="none"/>
                <w:lang w:val="en-US" w:eastAsia="zh-CN"/>
              </w:rPr>
              <w:t>51</w:t>
            </w:r>
          </w:p>
        </w:tc>
        <w:tc>
          <w:tcPr>
            <w:tcW w:w="1912" w:type="dxa"/>
            <w:vAlign w:val="center"/>
          </w:tcPr>
          <w:p>
            <w:pPr>
              <w:pStyle w:val="5"/>
              <w:spacing w:before="232" w:line="188" w:lineRule="auto"/>
              <w:jc w:val="center"/>
              <w:rPr>
                <w:rFonts w:hint="default" w:eastAsia="FangSong_GB2312"/>
                <w:highlight w:val="none"/>
                <w:lang w:val="en-US" w:eastAsia="zh-CN"/>
              </w:rPr>
            </w:pPr>
            <w:r>
              <w:rPr>
                <w:spacing w:val="-6"/>
                <w:highlight w:val="none"/>
              </w:rPr>
              <w:t>6.</w:t>
            </w:r>
            <w:r>
              <w:rPr>
                <w:rFonts w:hint="eastAsia"/>
                <w:spacing w:val="-6"/>
                <w:highlight w:val="none"/>
                <w:lang w:val="en-US" w:eastAsia="zh-CN"/>
              </w:rPr>
              <w:t>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646" w:type="dxa"/>
            <w:gridSpan w:val="5"/>
            <w:shd w:val="clear" w:color="auto" w:fill="D9D9D9"/>
            <w:vAlign w:val="top"/>
          </w:tcPr>
          <w:p>
            <w:pPr>
              <w:pStyle w:val="5"/>
              <w:spacing w:before="181" w:line="214" w:lineRule="auto"/>
              <w:ind w:left="21"/>
            </w:pPr>
            <w:r>
              <w:rPr>
                <w:b/>
                <w:bCs/>
                <w:spacing w:val="-4"/>
              </w:rPr>
              <w:t>流动性覆盖率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566" w:type="dxa"/>
            <w:vAlign w:val="top"/>
          </w:tcPr>
          <w:p>
            <w:pPr>
              <w:pStyle w:val="5"/>
              <w:spacing w:before="239" w:line="188" w:lineRule="auto"/>
              <w:jc w:val="center"/>
            </w:pPr>
            <w:r>
              <w:rPr>
                <w:spacing w:val="-14"/>
              </w:rPr>
              <w:t>15</w:t>
            </w:r>
          </w:p>
        </w:tc>
        <w:tc>
          <w:tcPr>
            <w:tcW w:w="2414" w:type="dxa"/>
            <w:vAlign w:val="top"/>
          </w:tcPr>
          <w:p>
            <w:pPr>
              <w:pStyle w:val="5"/>
              <w:spacing w:before="202" w:line="214" w:lineRule="auto"/>
              <w:ind w:left="15"/>
            </w:pPr>
            <w:r>
              <w:rPr>
                <w:spacing w:val="-2"/>
              </w:rPr>
              <w:t>合格优质流动性资产</w:t>
            </w:r>
          </w:p>
        </w:tc>
        <w:tc>
          <w:tcPr>
            <w:tcW w:w="1851" w:type="dxa"/>
            <w:vAlign w:val="center"/>
          </w:tcPr>
          <w:p>
            <w:pPr>
              <w:pStyle w:val="5"/>
              <w:spacing w:before="228" w:line="188" w:lineRule="auto"/>
              <w:jc w:val="center"/>
              <w:rPr>
                <w:rFonts w:hint="default"/>
                <w:spacing w:val="-3"/>
                <w:highlight w:val="none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5,452,215.91</w:t>
            </w:r>
          </w:p>
        </w:tc>
        <w:tc>
          <w:tcPr>
            <w:tcW w:w="1903" w:type="dxa"/>
            <w:vAlign w:val="center"/>
          </w:tcPr>
          <w:p>
            <w:pPr>
              <w:pStyle w:val="5"/>
              <w:spacing w:before="302" w:line="188" w:lineRule="auto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4,903,801.86</w:t>
            </w:r>
          </w:p>
        </w:tc>
        <w:tc>
          <w:tcPr>
            <w:tcW w:w="1912" w:type="dxa"/>
            <w:vAlign w:val="center"/>
          </w:tcPr>
          <w:p>
            <w:pPr>
              <w:pStyle w:val="5"/>
              <w:spacing w:before="302" w:line="188" w:lineRule="auto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4,767,309.85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566" w:type="dxa"/>
            <w:vAlign w:val="top"/>
          </w:tcPr>
          <w:p>
            <w:pPr>
              <w:pStyle w:val="5"/>
              <w:spacing w:before="242" w:line="188" w:lineRule="auto"/>
              <w:jc w:val="center"/>
            </w:pPr>
            <w:r>
              <w:rPr>
                <w:spacing w:val="-14"/>
              </w:rPr>
              <w:t>16</w:t>
            </w:r>
          </w:p>
        </w:tc>
        <w:tc>
          <w:tcPr>
            <w:tcW w:w="2414" w:type="dxa"/>
            <w:vAlign w:val="top"/>
          </w:tcPr>
          <w:p>
            <w:pPr>
              <w:pStyle w:val="5"/>
              <w:spacing w:before="206" w:line="214" w:lineRule="auto"/>
              <w:ind w:left="20"/>
            </w:pPr>
            <w:r>
              <w:rPr>
                <w:spacing w:val="-3"/>
              </w:rPr>
              <w:t>现金净流出量</w:t>
            </w:r>
          </w:p>
        </w:tc>
        <w:tc>
          <w:tcPr>
            <w:tcW w:w="1851" w:type="dxa"/>
            <w:vAlign w:val="center"/>
          </w:tcPr>
          <w:p>
            <w:pPr>
              <w:pStyle w:val="5"/>
              <w:spacing w:before="228" w:line="188" w:lineRule="auto"/>
              <w:jc w:val="center"/>
              <w:rPr>
                <w:rFonts w:hint="default"/>
                <w:spacing w:val="-3"/>
                <w:highlight w:val="none"/>
                <w:lang w:val="en-US" w:eastAsia="zh-CN"/>
              </w:rPr>
            </w:pPr>
            <w:r>
              <w:rPr>
                <w:rFonts w:hint="eastAsia"/>
                <w:spacing w:val="-3"/>
                <w:highlight w:val="none"/>
                <w:lang w:val="en-US" w:eastAsia="zh-CN"/>
              </w:rPr>
              <w:t>2,980,171.27</w:t>
            </w:r>
          </w:p>
        </w:tc>
        <w:tc>
          <w:tcPr>
            <w:tcW w:w="1903" w:type="dxa"/>
            <w:vAlign w:val="center"/>
          </w:tcPr>
          <w:p>
            <w:pPr>
              <w:pStyle w:val="5"/>
              <w:spacing w:before="302" w:line="188" w:lineRule="auto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2,611,339.35</w:t>
            </w:r>
          </w:p>
        </w:tc>
        <w:tc>
          <w:tcPr>
            <w:tcW w:w="1912" w:type="dxa"/>
            <w:vAlign w:val="center"/>
          </w:tcPr>
          <w:p>
            <w:pPr>
              <w:pStyle w:val="5"/>
              <w:spacing w:before="302" w:line="188" w:lineRule="auto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2,784,959.74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566" w:type="dxa"/>
            <w:vAlign w:val="top"/>
          </w:tcPr>
          <w:p>
            <w:pPr>
              <w:pStyle w:val="5"/>
              <w:spacing w:before="310" w:line="188" w:lineRule="auto"/>
              <w:jc w:val="center"/>
            </w:pPr>
            <w:r>
              <w:rPr>
                <w:spacing w:val="-14"/>
              </w:rPr>
              <w:t>17</w:t>
            </w:r>
          </w:p>
        </w:tc>
        <w:tc>
          <w:tcPr>
            <w:tcW w:w="241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流动性覆盖率（</w:t>
            </w:r>
            <w:r>
              <w:rPr>
                <w:rFonts w:hint="eastAsia"/>
                <w:spacing w:val="-2"/>
                <w:lang w:val="en-US" w:eastAsia="zh-CN"/>
              </w:rPr>
              <w:t>%</w:t>
            </w:r>
            <w:r>
              <w:rPr>
                <w:spacing w:val="-2"/>
              </w:rPr>
              <w:t>）</w:t>
            </w:r>
          </w:p>
        </w:tc>
        <w:tc>
          <w:tcPr>
            <w:tcW w:w="1851" w:type="dxa"/>
            <w:vAlign w:val="center"/>
          </w:tcPr>
          <w:p>
            <w:pPr>
              <w:pStyle w:val="5"/>
              <w:spacing w:before="228" w:line="188" w:lineRule="auto"/>
              <w:jc w:val="center"/>
              <w:rPr>
                <w:rFonts w:hint="default"/>
                <w:spacing w:val="-3"/>
                <w:highlight w:val="none"/>
                <w:lang w:val="en-US" w:eastAsia="zh-CN"/>
              </w:rPr>
            </w:pPr>
            <w:r>
              <w:rPr>
                <w:rFonts w:hint="eastAsia"/>
                <w:spacing w:val="-3"/>
                <w:highlight w:val="none"/>
                <w:lang w:val="en-US" w:eastAsia="zh-CN"/>
              </w:rPr>
              <w:t>182.95</w:t>
            </w:r>
          </w:p>
        </w:tc>
        <w:tc>
          <w:tcPr>
            <w:tcW w:w="1903" w:type="dxa"/>
            <w:vAlign w:val="center"/>
          </w:tcPr>
          <w:p>
            <w:pPr>
              <w:pStyle w:val="5"/>
              <w:spacing w:before="302" w:line="188" w:lineRule="auto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187.79</w:t>
            </w:r>
          </w:p>
        </w:tc>
        <w:tc>
          <w:tcPr>
            <w:tcW w:w="1912" w:type="dxa"/>
            <w:vAlign w:val="center"/>
          </w:tcPr>
          <w:p>
            <w:pPr>
              <w:pStyle w:val="5"/>
              <w:spacing w:before="302" w:line="188" w:lineRule="auto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171.18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63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2362"/>
        <w:gridCol w:w="1903"/>
        <w:gridCol w:w="1903"/>
        <w:gridCol w:w="18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630" w:type="dxa"/>
            <w:gridSpan w:val="5"/>
            <w:tcBorders>
              <w:top w:val="nil"/>
            </w:tcBorders>
            <w:shd w:val="clear" w:color="auto" w:fill="D9D9D9"/>
            <w:vAlign w:val="top"/>
          </w:tcPr>
          <w:p>
            <w:pPr>
              <w:pStyle w:val="5"/>
              <w:spacing w:before="193" w:line="214" w:lineRule="auto"/>
              <w:ind w:left="28"/>
            </w:pPr>
            <w:r>
              <w:rPr>
                <w:b/>
                <w:bCs/>
                <w:spacing w:val="-5"/>
              </w:rPr>
              <w:t>净稳定资金比例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566" w:type="dxa"/>
            <w:vAlign w:val="top"/>
          </w:tcPr>
          <w:p>
            <w:pPr>
              <w:pStyle w:val="5"/>
              <w:spacing w:before="254" w:line="188" w:lineRule="auto"/>
              <w:jc w:val="center"/>
            </w:pPr>
            <w:r>
              <w:rPr>
                <w:spacing w:val="-14"/>
              </w:rPr>
              <w:t>18</w:t>
            </w:r>
          </w:p>
        </w:tc>
        <w:tc>
          <w:tcPr>
            <w:tcW w:w="23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</w:pPr>
            <w:r>
              <w:rPr>
                <w:spacing w:val="-3"/>
              </w:rPr>
              <w:t>可用稳定资金合计</w:t>
            </w:r>
          </w:p>
        </w:tc>
        <w:tc>
          <w:tcPr>
            <w:tcW w:w="1903" w:type="dxa"/>
            <w:vAlign w:val="center"/>
          </w:tcPr>
          <w:p>
            <w:pPr>
              <w:pStyle w:val="5"/>
              <w:spacing w:before="302" w:line="188" w:lineRule="auto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20,443,675.07</w:t>
            </w:r>
          </w:p>
        </w:tc>
        <w:tc>
          <w:tcPr>
            <w:tcW w:w="1903" w:type="dxa"/>
            <w:vAlign w:val="top"/>
          </w:tcPr>
          <w:p>
            <w:pPr>
              <w:pStyle w:val="5"/>
              <w:spacing w:before="302" w:line="188" w:lineRule="auto"/>
              <w:jc w:val="center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20,127,673.84</w:t>
            </w:r>
          </w:p>
        </w:tc>
        <w:tc>
          <w:tcPr>
            <w:tcW w:w="1896" w:type="dxa"/>
            <w:vAlign w:val="center"/>
          </w:tcPr>
          <w:p>
            <w:pPr>
              <w:pStyle w:val="5"/>
              <w:spacing w:before="302" w:line="188" w:lineRule="auto"/>
              <w:jc w:val="center"/>
              <w:rPr>
                <w:rFonts w:hint="eastAsia" w:eastAsia="FangSong_GB2312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19,421,187.57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66" w:type="dxa"/>
            <w:vAlign w:val="top"/>
          </w:tcPr>
          <w:p>
            <w:pPr>
              <w:pStyle w:val="5"/>
              <w:spacing w:before="236" w:line="188" w:lineRule="auto"/>
              <w:jc w:val="center"/>
            </w:pPr>
            <w:r>
              <w:rPr>
                <w:spacing w:val="-14"/>
              </w:rPr>
              <w:t>19</w:t>
            </w:r>
          </w:p>
        </w:tc>
        <w:tc>
          <w:tcPr>
            <w:tcW w:w="23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</w:pPr>
            <w:r>
              <w:rPr>
                <w:spacing w:val="-2"/>
              </w:rPr>
              <w:t>所需稳定资金合计</w:t>
            </w:r>
          </w:p>
        </w:tc>
        <w:tc>
          <w:tcPr>
            <w:tcW w:w="1903" w:type="dxa"/>
            <w:vAlign w:val="center"/>
          </w:tcPr>
          <w:p>
            <w:pPr>
              <w:pStyle w:val="5"/>
              <w:spacing w:before="302" w:line="188" w:lineRule="auto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12,597,751.37</w:t>
            </w:r>
          </w:p>
        </w:tc>
        <w:tc>
          <w:tcPr>
            <w:tcW w:w="1903" w:type="dxa"/>
            <w:vAlign w:val="top"/>
          </w:tcPr>
          <w:p>
            <w:pPr>
              <w:pStyle w:val="5"/>
              <w:spacing w:before="302" w:line="188" w:lineRule="auto"/>
              <w:jc w:val="center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12,505,485.94</w:t>
            </w:r>
          </w:p>
        </w:tc>
        <w:tc>
          <w:tcPr>
            <w:tcW w:w="1896" w:type="dxa"/>
            <w:vAlign w:val="top"/>
          </w:tcPr>
          <w:p>
            <w:pPr>
              <w:pStyle w:val="5"/>
              <w:spacing w:before="302" w:line="188" w:lineRule="auto"/>
              <w:jc w:val="center"/>
              <w:rPr>
                <w:rFonts w:hint="eastAsia" w:eastAsia="FangSong_GB2312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12,088,286.03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566" w:type="dxa"/>
            <w:vAlign w:val="top"/>
          </w:tcPr>
          <w:p>
            <w:pPr>
              <w:pStyle w:val="5"/>
              <w:spacing w:before="302" w:line="188" w:lineRule="auto"/>
              <w:jc w:val="center"/>
            </w:pPr>
            <w:r>
              <w:rPr>
                <w:spacing w:val="-10"/>
              </w:rPr>
              <w:t>20</w:t>
            </w:r>
          </w:p>
        </w:tc>
        <w:tc>
          <w:tcPr>
            <w:tcW w:w="23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</w:pPr>
            <w:r>
              <w:rPr>
                <w:spacing w:val="-2"/>
              </w:rPr>
              <w:t>净稳定资金比例（%）</w:t>
            </w:r>
          </w:p>
        </w:tc>
        <w:tc>
          <w:tcPr>
            <w:tcW w:w="190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162.28</w:t>
            </w:r>
          </w:p>
        </w:tc>
        <w:tc>
          <w:tcPr>
            <w:tcW w:w="1903" w:type="dxa"/>
            <w:vAlign w:val="top"/>
          </w:tcPr>
          <w:p>
            <w:pPr>
              <w:pStyle w:val="5"/>
              <w:spacing w:before="302" w:line="188" w:lineRule="auto"/>
              <w:jc w:val="center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160.95</w:t>
            </w:r>
          </w:p>
        </w:tc>
        <w:tc>
          <w:tcPr>
            <w:tcW w:w="1896" w:type="dxa"/>
            <w:vAlign w:val="top"/>
          </w:tcPr>
          <w:p>
            <w:pPr>
              <w:pStyle w:val="5"/>
              <w:spacing w:before="302" w:line="188" w:lineRule="auto"/>
              <w:jc w:val="center"/>
              <w:rPr>
                <w:rFonts w:hint="eastAsia" w:eastAsia="FangSong_GB2312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160.66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630" w:type="dxa"/>
            <w:gridSpan w:val="5"/>
            <w:shd w:val="clear" w:color="auto" w:fill="D8D8D8"/>
            <w:vAlign w:val="top"/>
          </w:tcPr>
          <w:p>
            <w:pPr>
              <w:pStyle w:val="5"/>
              <w:spacing w:before="180" w:line="214" w:lineRule="auto"/>
              <w:ind w:left="21"/>
            </w:pPr>
            <w:r>
              <w:rPr>
                <w:b/>
                <w:bCs/>
                <w:spacing w:val="-5"/>
              </w:rPr>
              <w:t>流动性比例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66" w:type="dxa"/>
            <w:vAlign w:val="top"/>
          </w:tcPr>
          <w:p>
            <w:pPr>
              <w:pStyle w:val="5"/>
              <w:spacing w:before="275" w:line="188" w:lineRule="auto"/>
              <w:jc w:val="center"/>
            </w:pPr>
            <w:r>
              <w:rPr>
                <w:spacing w:val="-10"/>
              </w:rPr>
              <w:t>21</w:t>
            </w:r>
          </w:p>
        </w:tc>
        <w:tc>
          <w:tcPr>
            <w:tcW w:w="23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流动性比例（%）</w:t>
            </w:r>
          </w:p>
        </w:tc>
        <w:tc>
          <w:tcPr>
            <w:tcW w:w="190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/>
                <w:spacing w:val="-5"/>
                <w:highlight w:val="none"/>
                <w:lang w:val="en-US" w:eastAsia="zh-CN"/>
              </w:rPr>
            </w:pPr>
            <w:r>
              <w:rPr>
                <w:rFonts w:hint="eastAsia"/>
                <w:spacing w:val="-5"/>
                <w:highlight w:val="none"/>
                <w:lang w:val="en-US" w:eastAsia="zh-CN"/>
              </w:rPr>
              <w:t>122.53</w:t>
            </w:r>
          </w:p>
        </w:tc>
        <w:tc>
          <w:tcPr>
            <w:tcW w:w="1903" w:type="dxa"/>
            <w:vAlign w:val="top"/>
          </w:tcPr>
          <w:p>
            <w:pPr>
              <w:pStyle w:val="5"/>
              <w:spacing w:before="275" w:line="188" w:lineRule="auto"/>
              <w:jc w:val="center"/>
              <w:rPr>
                <w:rFonts w:hint="default" w:eastAsia="FangSong_GB2312"/>
                <w:highlight w:val="none"/>
                <w:lang w:val="en-US" w:eastAsia="zh-CN"/>
              </w:rPr>
            </w:pPr>
            <w:r>
              <w:rPr>
                <w:rFonts w:hint="eastAsia"/>
                <w:spacing w:val="-5"/>
                <w:highlight w:val="none"/>
                <w:lang w:val="en-US" w:eastAsia="zh-CN"/>
              </w:rPr>
              <w:t>107.96</w:t>
            </w:r>
          </w:p>
        </w:tc>
        <w:tc>
          <w:tcPr>
            <w:tcW w:w="1896" w:type="dxa"/>
            <w:vAlign w:val="top"/>
          </w:tcPr>
          <w:p>
            <w:pPr>
              <w:pStyle w:val="5"/>
              <w:spacing w:before="275" w:line="188" w:lineRule="auto"/>
              <w:jc w:val="center"/>
              <w:rPr>
                <w:highlight w:val="none"/>
              </w:rPr>
            </w:pPr>
            <w:r>
              <w:rPr>
                <w:rFonts w:hint="eastAsia"/>
                <w:spacing w:val="-5"/>
                <w:highlight w:val="none"/>
                <w:lang w:val="en-US" w:eastAsia="zh-CN"/>
              </w:rPr>
              <w:t>112.72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1712" w:bottom="0" w:left="17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28E5495"/>
    <w:rsid w:val="052E61F0"/>
    <w:rsid w:val="0AA55676"/>
    <w:rsid w:val="121B0A1F"/>
    <w:rsid w:val="215324A3"/>
    <w:rsid w:val="2A8D625F"/>
    <w:rsid w:val="2CA26D42"/>
    <w:rsid w:val="2D973994"/>
    <w:rsid w:val="3B6A5780"/>
    <w:rsid w:val="43EC13C8"/>
    <w:rsid w:val="50383DC1"/>
    <w:rsid w:val="5C6D55FB"/>
    <w:rsid w:val="6085781A"/>
    <w:rsid w:val="67F84128"/>
    <w:rsid w:val="716A5515"/>
    <w:rsid w:val="792F2A97"/>
    <w:rsid w:val="7D8F16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ScaleCrop>false</ScaleCrop>
  <LinksUpToDate>false</LinksUpToDate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2024-07-31T15:00:00Z</dcterms:created>
  <dc:creator>wanghuimin_01</dc:creator>
  <cp:lastModifiedBy>puxg</cp:lastModifiedBy>
  <cp:lastPrinted>2025-10-27T08:07:00Z</cp:lastPrinted>
  <dcterms:modified xsi:type="dcterms:W3CDTF">2025-10-31T03:05:21Z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2024-08-30T16:37:01Z</vt:filetime>
  </property>
  <property fmtid="{D5CDD505-2E9C-101B-9397-08002B2CF9AE}" pid="4" name="KSOProductBuildVer">
    <vt:lpwstr>2052-11.8.2.12085</vt:lpwstr>
  </property>
  <property fmtid="{D5CDD505-2E9C-101B-9397-08002B2CF9AE}" pid="5" name="ICV">
    <vt:lpwstr>56346B14F3F74BD3BE30969F16E5B675</vt:lpwstr>
  </property>
</Properties>
</file>