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87141">
      <w:pPr>
        <w:spacing w:before="121" w:line="207" w:lineRule="auto"/>
        <w:jc w:val="center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莱商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银行股份有限公司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 xml:space="preserve"> 年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半年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度</w:t>
      </w:r>
    </w:p>
    <w:p w14:paraId="6CCAB0CE">
      <w:pPr>
        <w:spacing w:before="121" w:line="207" w:lineRule="auto"/>
        <w:jc w:val="center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第三支柱信息披露报告</w:t>
      </w:r>
    </w:p>
    <w:p w14:paraId="41E8B4B8">
      <w:pPr>
        <w:spacing w:line="332" w:lineRule="auto"/>
        <w:rPr>
          <w:rFonts w:ascii="Arial"/>
          <w:sz w:val="21"/>
        </w:rPr>
      </w:pPr>
    </w:p>
    <w:p w14:paraId="126DC8AD">
      <w:pPr>
        <w:spacing w:before="101" w:line="355" w:lineRule="auto"/>
        <w:ind w:left="37" w:right="5" w:firstLine="64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本报告根据《商业银行资本管理办法》的相关规定披露，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本报告数据为合并口径。</w:t>
      </w:r>
    </w:p>
    <w:p w14:paraId="3025807A">
      <w:pPr>
        <w:spacing w:before="101" w:line="228" w:lineRule="auto"/>
        <w:ind w:left="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表格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</w:rPr>
        <w:t>KM</w:t>
      </w:r>
      <w:r>
        <w:rPr>
          <w:rFonts w:ascii="黑体" w:hAnsi="黑体" w:eastAsia="黑体" w:cs="黑体"/>
          <w:spacing w:val="8"/>
          <w:sz w:val="31"/>
          <w:szCs w:val="31"/>
        </w:rPr>
        <w:t>1：监管并表关键审慎监管指标</w:t>
      </w:r>
    </w:p>
    <w:p w14:paraId="3ECA2932">
      <w:pPr>
        <w:spacing w:before="125" w:line="211" w:lineRule="auto"/>
        <w:ind w:left="6142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9"/>
          <w:sz w:val="24"/>
          <w:szCs w:val="24"/>
        </w:rPr>
        <w:t>单位：人民币万元，%</w:t>
      </w:r>
    </w:p>
    <w:tbl>
      <w:tblPr>
        <w:tblStyle w:val="6"/>
        <w:tblW w:w="840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3002"/>
        <w:gridCol w:w="2419"/>
        <w:gridCol w:w="2263"/>
      </w:tblGrid>
      <w:tr w14:paraId="5F877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721" w:type="dxa"/>
            <w:gridSpan w:val="2"/>
            <w:vAlign w:val="center"/>
          </w:tcPr>
          <w:p w14:paraId="67796E7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19" w:type="dxa"/>
            <w:vAlign w:val="center"/>
          </w:tcPr>
          <w:p w14:paraId="1A696EF0">
            <w:pPr>
              <w:pStyle w:val="7"/>
              <w:spacing w:before="323" w:line="224" w:lineRule="exact"/>
              <w:ind w:left="1147"/>
              <w:jc w:val="center"/>
            </w:pPr>
            <w:r>
              <w:rPr>
                <w:position w:val="-1"/>
              </w:rPr>
              <w:t>a</w:t>
            </w:r>
          </w:p>
        </w:tc>
        <w:tc>
          <w:tcPr>
            <w:tcW w:w="2263" w:type="dxa"/>
            <w:vAlign w:val="center"/>
          </w:tcPr>
          <w:p w14:paraId="66FAB489">
            <w:pPr>
              <w:pStyle w:val="7"/>
              <w:spacing w:before="225" w:line="369" w:lineRule="exact"/>
              <w:ind w:left="1069"/>
              <w:jc w:val="center"/>
            </w:pPr>
            <w:r>
              <w:rPr>
                <w:position w:val="1"/>
              </w:rPr>
              <w:t>b</w:t>
            </w:r>
          </w:p>
        </w:tc>
      </w:tr>
      <w:tr w14:paraId="46E420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3721" w:type="dxa"/>
            <w:gridSpan w:val="2"/>
            <w:vAlign w:val="center"/>
          </w:tcPr>
          <w:p w14:paraId="58E6488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19" w:type="dxa"/>
            <w:vAlign w:val="center"/>
          </w:tcPr>
          <w:p w14:paraId="3C97D46E">
            <w:pPr>
              <w:pStyle w:val="7"/>
              <w:spacing w:before="193" w:line="216" w:lineRule="auto"/>
              <w:ind w:left="138"/>
              <w:jc w:val="center"/>
            </w:pPr>
            <w:r>
              <w:rPr>
                <w:spacing w:val="-12"/>
              </w:rPr>
              <w:t>202</w:t>
            </w:r>
            <w:r>
              <w:rPr>
                <w:rFonts w:hint="eastAsia"/>
                <w:spacing w:val="-12"/>
                <w:lang w:val="en-US" w:eastAsia="zh-CN"/>
              </w:rPr>
              <w:t>6</w:t>
            </w:r>
            <w:r>
              <w:rPr>
                <w:spacing w:val="-12"/>
              </w:rPr>
              <w:t>年6月30日</w:t>
            </w:r>
          </w:p>
        </w:tc>
        <w:tc>
          <w:tcPr>
            <w:tcW w:w="2263" w:type="dxa"/>
            <w:vAlign w:val="center"/>
          </w:tcPr>
          <w:p w14:paraId="7BA3C127">
            <w:pPr>
              <w:pStyle w:val="7"/>
              <w:spacing w:before="193" w:line="216" w:lineRule="auto"/>
              <w:jc w:val="center"/>
            </w:pPr>
            <w:r>
              <w:rPr>
                <w:spacing w:val="-18"/>
              </w:rPr>
              <w:t>202</w:t>
            </w:r>
            <w:r>
              <w:rPr>
                <w:rFonts w:hint="eastAsia"/>
                <w:spacing w:val="-18"/>
                <w:lang w:val="en-US" w:eastAsia="zh-CN"/>
              </w:rPr>
              <w:t>6</w:t>
            </w:r>
            <w:r>
              <w:rPr>
                <w:spacing w:val="-18"/>
              </w:rPr>
              <w:t>年3月31日</w:t>
            </w:r>
          </w:p>
        </w:tc>
      </w:tr>
      <w:tr w14:paraId="14B430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403" w:type="dxa"/>
            <w:gridSpan w:val="4"/>
            <w:shd w:val="clear" w:color="auto" w:fill="D9D9D9"/>
            <w:vAlign w:val="center"/>
          </w:tcPr>
          <w:p w14:paraId="3A18DC1A">
            <w:pPr>
              <w:pStyle w:val="7"/>
              <w:spacing w:before="172" w:line="215" w:lineRule="auto"/>
              <w:ind w:left="32"/>
              <w:jc w:val="left"/>
            </w:pPr>
            <w:r>
              <w:rPr>
                <w:b/>
                <w:bCs/>
                <w:spacing w:val="-5"/>
              </w:rPr>
              <w:t>可用资本（数额）</w:t>
            </w:r>
          </w:p>
        </w:tc>
      </w:tr>
      <w:tr w14:paraId="4E9354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19" w:type="dxa"/>
            <w:vAlign w:val="center"/>
          </w:tcPr>
          <w:p w14:paraId="47DCB273">
            <w:pPr>
              <w:pStyle w:val="7"/>
              <w:spacing w:before="254" w:line="188" w:lineRule="auto"/>
              <w:ind w:left="307"/>
              <w:jc w:val="center"/>
            </w:pPr>
            <w:r>
              <w:t>1</w:t>
            </w:r>
          </w:p>
        </w:tc>
        <w:tc>
          <w:tcPr>
            <w:tcW w:w="3002" w:type="dxa"/>
            <w:vAlign w:val="center"/>
          </w:tcPr>
          <w:p w14:paraId="1C18EB1D">
            <w:pPr>
              <w:pStyle w:val="7"/>
              <w:spacing w:before="218" w:line="214" w:lineRule="auto"/>
              <w:ind w:left="10"/>
              <w:jc w:val="center"/>
            </w:pPr>
            <w:r>
              <w:rPr>
                <w:spacing w:val="-2"/>
              </w:rPr>
              <w:t>核心一级资本净额</w:t>
            </w:r>
          </w:p>
        </w:tc>
        <w:tc>
          <w:tcPr>
            <w:tcW w:w="2419" w:type="dxa"/>
            <w:vAlign w:val="center"/>
          </w:tcPr>
          <w:p w14:paraId="6C90C49A">
            <w:pPr>
              <w:pStyle w:val="7"/>
              <w:spacing w:before="254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default" w:eastAsia="FangSong_GB2312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default" w:eastAsia="FangSong_GB2312"/>
                <w:lang w:val="en-US" w:eastAsia="zh-CN"/>
              </w:rPr>
              <w:t>673</w:t>
            </w:r>
            <w:r>
              <w:rPr>
                <w:rFonts w:hint="eastAsia"/>
                <w:lang w:val="en-US" w:eastAsia="zh-CN"/>
              </w:rPr>
              <w:t>,</w:t>
            </w:r>
            <w:r>
              <w:rPr>
                <w:rFonts w:hint="default" w:eastAsia="FangSong_GB2312"/>
                <w:lang w:val="en-US" w:eastAsia="zh-CN"/>
              </w:rPr>
              <w:t>063.56</w:t>
            </w:r>
          </w:p>
        </w:tc>
        <w:tc>
          <w:tcPr>
            <w:tcW w:w="2263" w:type="dxa"/>
            <w:vAlign w:val="center"/>
          </w:tcPr>
          <w:p w14:paraId="62E55A54">
            <w:pPr>
              <w:pStyle w:val="7"/>
              <w:spacing w:before="254" w:line="188" w:lineRule="auto"/>
              <w:jc w:val="center"/>
              <w:rPr>
                <w:highlight w:val="none"/>
              </w:rPr>
            </w:pPr>
            <w:r>
              <w:rPr>
                <w:rFonts w:hint="eastAsia"/>
                <w:spacing w:val="-3"/>
                <w:highlight w:val="none"/>
                <w:lang w:val="en-US" w:eastAsia="zh-CN"/>
              </w:rPr>
              <w:t>1,574,747.90</w:t>
            </w:r>
          </w:p>
        </w:tc>
      </w:tr>
      <w:tr w14:paraId="379833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719" w:type="dxa"/>
            <w:vAlign w:val="center"/>
          </w:tcPr>
          <w:p w14:paraId="1514C8D0">
            <w:pPr>
              <w:pStyle w:val="7"/>
              <w:spacing w:before="234" w:line="188" w:lineRule="auto"/>
              <w:ind w:left="300"/>
              <w:jc w:val="center"/>
            </w:pPr>
            <w:r>
              <w:t>2</w:t>
            </w:r>
          </w:p>
        </w:tc>
        <w:tc>
          <w:tcPr>
            <w:tcW w:w="3002" w:type="dxa"/>
            <w:vAlign w:val="center"/>
          </w:tcPr>
          <w:p w14:paraId="795B6189">
            <w:pPr>
              <w:pStyle w:val="7"/>
              <w:spacing w:before="198" w:line="214" w:lineRule="auto"/>
              <w:ind w:left="29"/>
              <w:jc w:val="center"/>
            </w:pPr>
            <w:r>
              <w:rPr>
                <w:spacing w:val="-5"/>
              </w:rPr>
              <w:t>一级资本净额</w:t>
            </w:r>
          </w:p>
        </w:tc>
        <w:tc>
          <w:tcPr>
            <w:tcW w:w="2419" w:type="dxa"/>
            <w:vAlign w:val="center"/>
          </w:tcPr>
          <w:p w14:paraId="588AFC6D">
            <w:pPr>
              <w:pStyle w:val="7"/>
              <w:spacing w:before="234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1,986,070.27</w:t>
            </w:r>
          </w:p>
        </w:tc>
        <w:tc>
          <w:tcPr>
            <w:tcW w:w="2263" w:type="dxa"/>
            <w:vAlign w:val="center"/>
          </w:tcPr>
          <w:p w14:paraId="1867AFEC">
            <w:pPr>
              <w:pStyle w:val="7"/>
              <w:spacing w:before="234" w:line="188" w:lineRule="auto"/>
              <w:jc w:val="center"/>
              <w:rPr>
                <w:highlight w:val="none"/>
              </w:rPr>
            </w:pPr>
            <w:r>
              <w:rPr>
                <w:rFonts w:hint="eastAsia"/>
                <w:spacing w:val="-3"/>
                <w:highlight w:val="none"/>
                <w:lang w:val="en-US" w:eastAsia="zh-CN"/>
              </w:rPr>
              <w:t>1,887,806.51</w:t>
            </w:r>
          </w:p>
        </w:tc>
      </w:tr>
      <w:tr w14:paraId="1AD14B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719" w:type="dxa"/>
            <w:vAlign w:val="center"/>
          </w:tcPr>
          <w:p w14:paraId="0BBE0DE3">
            <w:pPr>
              <w:pStyle w:val="7"/>
              <w:spacing w:before="235" w:line="188" w:lineRule="auto"/>
              <w:ind w:left="311"/>
              <w:jc w:val="center"/>
            </w:pPr>
            <w:r>
              <w:t>3</w:t>
            </w:r>
          </w:p>
        </w:tc>
        <w:tc>
          <w:tcPr>
            <w:tcW w:w="3002" w:type="dxa"/>
            <w:vAlign w:val="center"/>
          </w:tcPr>
          <w:p w14:paraId="7B09D632">
            <w:pPr>
              <w:pStyle w:val="7"/>
              <w:spacing w:before="198" w:line="214" w:lineRule="auto"/>
              <w:ind w:left="24"/>
              <w:jc w:val="center"/>
            </w:pPr>
            <w:r>
              <w:rPr>
                <w:spacing w:val="-6"/>
              </w:rPr>
              <w:t>资本净额</w:t>
            </w:r>
          </w:p>
        </w:tc>
        <w:tc>
          <w:tcPr>
            <w:tcW w:w="2419" w:type="dxa"/>
            <w:vAlign w:val="center"/>
          </w:tcPr>
          <w:p w14:paraId="2F77133A">
            <w:pPr>
              <w:pStyle w:val="7"/>
              <w:spacing w:before="234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2,074,032.18</w:t>
            </w:r>
          </w:p>
        </w:tc>
        <w:tc>
          <w:tcPr>
            <w:tcW w:w="2263" w:type="dxa"/>
            <w:vAlign w:val="center"/>
          </w:tcPr>
          <w:p w14:paraId="62EA4A00">
            <w:pPr>
              <w:pStyle w:val="7"/>
              <w:spacing w:before="234" w:line="188" w:lineRule="auto"/>
              <w:jc w:val="center"/>
              <w:rPr>
                <w:highlight w:val="none"/>
              </w:rPr>
            </w:pPr>
            <w:r>
              <w:rPr>
                <w:rFonts w:hint="eastAsia"/>
                <w:spacing w:val="-2"/>
                <w:highlight w:val="none"/>
                <w:lang w:val="en-US" w:eastAsia="zh-CN"/>
              </w:rPr>
              <w:t>1,913,957.30</w:t>
            </w:r>
          </w:p>
        </w:tc>
      </w:tr>
      <w:tr w14:paraId="62DFB4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8403" w:type="dxa"/>
            <w:gridSpan w:val="4"/>
            <w:shd w:val="clear" w:color="auto" w:fill="D9D9D9"/>
            <w:vAlign w:val="center"/>
          </w:tcPr>
          <w:p w14:paraId="162684BC">
            <w:pPr>
              <w:pStyle w:val="7"/>
              <w:spacing w:before="174" w:line="215" w:lineRule="auto"/>
              <w:ind w:left="21"/>
              <w:jc w:val="left"/>
            </w:pPr>
            <w:r>
              <w:rPr>
                <w:b/>
                <w:bCs/>
                <w:spacing w:val="-4"/>
              </w:rPr>
              <w:t>风险加权资产（数额）</w:t>
            </w:r>
          </w:p>
        </w:tc>
      </w:tr>
      <w:tr w14:paraId="42A5BF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19" w:type="dxa"/>
            <w:vAlign w:val="center"/>
          </w:tcPr>
          <w:p w14:paraId="5E892C3C">
            <w:pPr>
              <w:pStyle w:val="7"/>
              <w:spacing w:before="259" w:line="188" w:lineRule="auto"/>
              <w:ind w:left="299"/>
              <w:jc w:val="center"/>
            </w:pPr>
            <w:r>
              <w:t>4</w:t>
            </w:r>
          </w:p>
        </w:tc>
        <w:tc>
          <w:tcPr>
            <w:tcW w:w="3002" w:type="dxa"/>
            <w:vAlign w:val="center"/>
          </w:tcPr>
          <w:p w14:paraId="674B50CC">
            <w:pPr>
              <w:pStyle w:val="7"/>
              <w:spacing w:before="223" w:line="215" w:lineRule="auto"/>
              <w:ind w:left="13"/>
              <w:jc w:val="center"/>
            </w:pPr>
            <w:r>
              <w:rPr>
                <w:spacing w:val="-2"/>
              </w:rPr>
              <w:t>风险加权资产</w:t>
            </w:r>
          </w:p>
        </w:tc>
        <w:tc>
          <w:tcPr>
            <w:tcW w:w="2419" w:type="dxa"/>
            <w:vAlign w:val="center"/>
          </w:tcPr>
          <w:p w14:paraId="60525C25">
            <w:pPr>
              <w:pStyle w:val="7"/>
              <w:spacing w:before="259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16,901,393.06</w:t>
            </w:r>
          </w:p>
        </w:tc>
        <w:tc>
          <w:tcPr>
            <w:tcW w:w="2263" w:type="dxa"/>
            <w:vAlign w:val="center"/>
          </w:tcPr>
          <w:p w14:paraId="0E48D4A5">
            <w:pPr>
              <w:pStyle w:val="7"/>
              <w:spacing w:before="259" w:line="188" w:lineRule="auto"/>
              <w:jc w:val="center"/>
              <w:rPr>
                <w:highlight w:val="none"/>
              </w:rPr>
            </w:pPr>
            <w:r>
              <w:rPr>
                <w:rFonts w:hint="eastAsia"/>
                <w:spacing w:val="-3"/>
                <w:highlight w:val="none"/>
                <w:lang w:val="en-US" w:eastAsia="zh-CN"/>
              </w:rPr>
              <w:t>16,353,202.21</w:t>
            </w:r>
          </w:p>
        </w:tc>
      </w:tr>
      <w:tr w14:paraId="0BB1FA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403" w:type="dxa"/>
            <w:gridSpan w:val="4"/>
            <w:shd w:val="clear" w:color="auto" w:fill="D9D9D9"/>
            <w:vAlign w:val="center"/>
          </w:tcPr>
          <w:p w14:paraId="192C081B">
            <w:pPr>
              <w:pStyle w:val="7"/>
              <w:spacing w:before="179" w:line="214" w:lineRule="auto"/>
              <w:ind w:left="32"/>
              <w:jc w:val="left"/>
            </w:pPr>
            <w:r>
              <w:rPr>
                <w:b/>
                <w:bCs/>
                <w:spacing w:val="-7"/>
              </w:rPr>
              <w:t>资本充足率</w:t>
            </w:r>
          </w:p>
        </w:tc>
      </w:tr>
      <w:tr w14:paraId="0CC0EB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19" w:type="dxa"/>
            <w:vAlign w:val="center"/>
          </w:tcPr>
          <w:p w14:paraId="4DC04E3A">
            <w:pPr>
              <w:pStyle w:val="7"/>
              <w:spacing w:before="306" w:line="185" w:lineRule="auto"/>
              <w:ind w:left="303"/>
              <w:jc w:val="center"/>
            </w:pPr>
            <w:r>
              <w:t>5</w:t>
            </w:r>
          </w:p>
        </w:tc>
        <w:tc>
          <w:tcPr>
            <w:tcW w:w="3002" w:type="dxa"/>
            <w:vAlign w:val="center"/>
          </w:tcPr>
          <w:p w14:paraId="4F44AE9F">
            <w:pPr>
              <w:pStyle w:val="7"/>
              <w:spacing w:before="266" w:line="214" w:lineRule="auto"/>
              <w:jc w:val="center"/>
            </w:pPr>
            <w:r>
              <w:rPr>
                <w:spacing w:val="-21"/>
              </w:rPr>
              <w:t>核心一级资本充足率（%）</w:t>
            </w:r>
          </w:p>
        </w:tc>
        <w:tc>
          <w:tcPr>
            <w:tcW w:w="2419" w:type="dxa"/>
            <w:vAlign w:val="top"/>
          </w:tcPr>
          <w:p w14:paraId="454433C2">
            <w:pPr>
              <w:pStyle w:val="7"/>
              <w:spacing w:before="303" w:line="188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9.90</w:t>
            </w:r>
          </w:p>
        </w:tc>
        <w:tc>
          <w:tcPr>
            <w:tcW w:w="2263" w:type="dxa"/>
            <w:vAlign w:val="center"/>
          </w:tcPr>
          <w:p w14:paraId="079FBA3A">
            <w:pPr>
              <w:pStyle w:val="7"/>
              <w:spacing w:before="303" w:line="188" w:lineRule="auto"/>
              <w:jc w:val="center"/>
            </w:pPr>
            <w:r>
              <w:rPr>
                <w:rFonts w:hint="eastAsia"/>
                <w:lang w:val="en-US" w:eastAsia="zh-CN"/>
              </w:rPr>
              <w:t>9.63</w:t>
            </w:r>
          </w:p>
        </w:tc>
      </w:tr>
      <w:tr w14:paraId="1C0C31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19" w:type="dxa"/>
            <w:vAlign w:val="center"/>
          </w:tcPr>
          <w:p w14:paraId="2B366D96">
            <w:pPr>
              <w:pStyle w:val="7"/>
              <w:spacing w:before="305" w:line="188" w:lineRule="auto"/>
              <w:ind w:left="302"/>
              <w:jc w:val="center"/>
            </w:pPr>
            <w:r>
              <w:t>6</w:t>
            </w:r>
          </w:p>
        </w:tc>
        <w:tc>
          <w:tcPr>
            <w:tcW w:w="3002" w:type="dxa"/>
            <w:vAlign w:val="center"/>
          </w:tcPr>
          <w:p w14:paraId="0F348A84">
            <w:pPr>
              <w:pStyle w:val="7"/>
              <w:spacing w:before="269" w:line="214" w:lineRule="auto"/>
              <w:ind w:left="29"/>
              <w:jc w:val="center"/>
            </w:pPr>
            <w:r>
              <w:rPr>
                <w:spacing w:val="-3"/>
              </w:rPr>
              <w:t>一级资本充足率（%）</w:t>
            </w:r>
          </w:p>
        </w:tc>
        <w:tc>
          <w:tcPr>
            <w:tcW w:w="2419" w:type="dxa"/>
            <w:vAlign w:val="top"/>
          </w:tcPr>
          <w:p w14:paraId="5D8C1C00">
            <w:pPr>
              <w:pStyle w:val="7"/>
              <w:spacing w:before="303" w:line="188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11.75</w:t>
            </w:r>
          </w:p>
        </w:tc>
        <w:tc>
          <w:tcPr>
            <w:tcW w:w="2263" w:type="dxa"/>
            <w:vAlign w:val="center"/>
          </w:tcPr>
          <w:p w14:paraId="493711E5">
            <w:pPr>
              <w:pStyle w:val="7"/>
              <w:spacing w:before="303" w:line="188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11.54</w:t>
            </w:r>
          </w:p>
        </w:tc>
      </w:tr>
      <w:tr w14:paraId="09B322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19" w:type="dxa"/>
            <w:vAlign w:val="center"/>
          </w:tcPr>
          <w:p w14:paraId="43E0478E">
            <w:pPr>
              <w:pStyle w:val="7"/>
              <w:spacing w:before="247" w:line="185" w:lineRule="auto"/>
              <w:ind w:left="302"/>
              <w:jc w:val="center"/>
            </w:pPr>
            <w:r>
              <w:t>7</w:t>
            </w:r>
          </w:p>
        </w:tc>
        <w:tc>
          <w:tcPr>
            <w:tcW w:w="3002" w:type="dxa"/>
            <w:vAlign w:val="center"/>
          </w:tcPr>
          <w:p w14:paraId="3646EFE0">
            <w:pPr>
              <w:pStyle w:val="7"/>
              <w:spacing w:before="206" w:line="214" w:lineRule="auto"/>
              <w:ind w:left="24"/>
              <w:jc w:val="center"/>
            </w:pPr>
            <w:r>
              <w:rPr>
                <w:spacing w:val="-3"/>
              </w:rPr>
              <w:t>资本充足率（%）</w:t>
            </w:r>
          </w:p>
        </w:tc>
        <w:tc>
          <w:tcPr>
            <w:tcW w:w="2419" w:type="dxa"/>
            <w:vAlign w:val="top"/>
          </w:tcPr>
          <w:p w14:paraId="73837A0F">
            <w:pPr>
              <w:pStyle w:val="7"/>
              <w:spacing w:before="303" w:line="188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12.27</w:t>
            </w:r>
          </w:p>
        </w:tc>
        <w:tc>
          <w:tcPr>
            <w:tcW w:w="2263" w:type="dxa"/>
            <w:vAlign w:val="center"/>
          </w:tcPr>
          <w:p w14:paraId="6738286B">
            <w:pPr>
              <w:pStyle w:val="7"/>
              <w:spacing w:before="303" w:line="188" w:lineRule="auto"/>
              <w:jc w:val="center"/>
            </w:pPr>
            <w:r>
              <w:rPr>
                <w:rFonts w:hint="eastAsia"/>
                <w:lang w:val="en-US" w:eastAsia="zh-CN"/>
              </w:rPr>
              <w:t>11.70</w:t>
            </w:r>
          </w:p>
        </w:tc>
      </w:tr>
    </w:tbl>
    <w:p w14:paraId="3175F5A5">
      <w:pPr>
        <w:rPr>
          <w:rFonts w:ascii="Arial"/>
          <w:sz w:val="21"/>
        </w:rPr>
      </w:pPr>
    </w:p>
    <w:p w14:paraId="6230EFB2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1814" w:right="1474" w:bottom="1474" w:left="1474" w:header="0" w:footer="0" w:gutter="0"/>
          <w:cols w:space="720" w:num="1"/>
        </w:sectPr>
      </w:pPr>
    </w:p>
    <w:p w14:paraId="2DB29202">
      <w:pPr>
        <w:spacing w:line="91" w:lineRule="auto"/>
        <w:rPr>
          <w:rFonts w:ascii="Arial"/>
          <w:sz w:val="2"/>
        </w:rPr>
      </w:pPr>
    </w:p>
    <w:tbl>
      <w:tblPr>
        <w:tblStyle w:val="6"/>
        <w:tblW w:w="840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3002"/>
        <w:gridCol w:w="2419"/>
        <w:gridCol w:w="2263"/>
      </w:tblGrid>
      <w:tr w14:paraId="206947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403" w:type="dxa"/>
            <w:gridSpan w:val="4"/>
            <w:tcBorders>
              <w:top w:val="nil"/>
            </w:tcBorders>
            <w:shd w:val="clear" w:color="auto" w:fill="D9D9D9"/>
            <w:vAlign w:val="top"/>
          </w:tcPr>
          <w:p w14:paraId="4107676D">
            <w:pPr>
              <w:pStyle w:val="7"/>
              <w:spacing w:before="192" w:line="215" w:lineRule="auto"/>
              <w:ind w:left="20"/>
            </w:pPr>
            <w:r>
              <w:rPr>
                <w:b/>
                <w:bCs/>
                <w:spacing w:val="-4"/>
              </w:rPr>
              <w:t>其他各级资本要求</w:t>
            </w:r>
          </w:p>
        </w:tc>
      </w:tr>
      <w:tr w14:paraId="45B26C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719" w:type="dxa"/>
            <w:vAlign w:val="top"/>
          </w:tcPr>
          <w:p w14:paraId="094FF264">
            <w:pPr>
              <w:pStyle w:val="7"/>
              <w:spacing w:before="326" w:line="188" w:lineRule="auto"/>
              <w:ind w:left="302"/>
            </w:pPr>
            <w:r>
              <w:t>8</w:t>
            </w:r>
          </w:p>
        </w:tc>
        <w:tc>
          <w:tcPr>
            <w:tcW w:w="3002" w:type="dxa"/>
            <w:vAlign w:val="top"/>
          </w:tcPr>
          <w:p w14:paraId="3EB14C1E">
            <w:pPr>
              <w:pStyle w:val="7"/>
              <w:spacing w:before="290" w:line="215" w:lineRule="auto"/>
              <w:ind w:left="6"/>
            </w:pPr>
            <w:r>
              <w:rPr>
                <w:spacing w:val="-1"/>
              </w:rPr>
              <w:t>储备资本要求（%）</w:t>
            </w:r>
          </w:p>
        </w:tc>
        <w:tc>
          <w:tcPr>
            <w:tcW w:w="2419" w:type="dxa"/>
            <w:vAlign w:val="top"/>
          </w:tcPr>
          <w:p w14:paraId="34D66951">
            <w:pPr>
              <w:pStyle w:val="7"/>
              <w:spacing w:before="326" w:line="188" w:lineRule="auto"/>
              <w:jc w:val="center"/>
            </w:pPr>
            <w:r>
              <w:rPr>
                <w:spacing w:val="-7"/>
              </w:rPr>
              <w:t>2.5</w:t>
            </w:r>
          </w:p>
        </w:tc>
        <w:tc>
          <w:tcPr>
            <w:tcW w:w="2263" w:type="dxa"/>
            <w:vAlign w:val="top"/>
          </w:tcPr>
          <w:p w14:paraId="1DEB8857">
            <w:pPr>
              <w:pStyle w:val="7"/>
              <w:spacing w:before="326" w:line="188" w:lineRule="auto"/>
              <w:jc w:val="center"/>
            </w:pPr>
            <w:r>
              <w:rPr>
                <w:spacing w:val="-7"/>
              </w:rPr>
              <w:t>2.5</w:t>
            </w:r>
          </w:p>
        </w:tc>
      </w:tr>
      <w:tr w14:paraId="22AE92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719" w:type="dxa"/>
            <w:vAlign w:val="top"/>
          </w:tcPr>
          <w:p w14:paraId="64289E5E">
            <w:pPr>
              <w:pStyle w:val="7"/>
              <w:spacing w:before="303" w:line="188" w:lineRule="auto"/>
              <w:ind w:left="302"/>
            </w:pPr>
            <w:r>
              <w:t>9</w:t>
            </w:r>
          </w:p>
        </w:tc>
        <w:tc>
          <w:tcPr>
            <w:tcW w:w="3002" w:type="dxa"/>
            <w:vAlign w:val="top"/>
          </w:tcPr>
          <w:p w14:paraId="277964EA">
            <w:pPr>
              <w:pStyle w:val="7"/>
              <w:spacing w:before="267" w:line="215" w:lineRule="auto"/>
              <w:ind w:left="20"/>
            </w:pPr>
            <w:r>
              <w:rPr>
                <w:spacing w:val="-2"/>
              </w:rPr>
              <w:t>逆周期资本要求（%）</w:t>
            </w:r>
          </w:p>
        </w:tc>
        <w:tc>
          <w:tcPr>
            <w:tcW w:w="2419" w:type="dxa"/>
            <w:vAlign w:val="top"/>
          </w:tcPr>
          <w:p w14:paraId="1C924337">
            <w:pPr>
              <w:pStyle w:val="7"/>
              <w:spacing w:before="303" w:line="188" w:lineRule="auto"/>
              <w:jc w:val="center"/>
            </w:pPr>
            <w:r>
              <w:t>0</w:t>
            </w:r>
          </w:p>
        </w:tc>
        <w:tc>
          <w:tcPr>
            <w:tcW w:w="2263" w:type="dxa"/>
            <w:vAlign w:val="top"/>
          </w:tcPr>
          <w:p w14:paraId="048001DD">
            <w:pPr>
              <w:pStyle w:val="7"/>
              <w:spacing w:before="303" w:line="188" w:lineRule="auto"/>
              <w:jc w:val="center"/>
            </w:pPr>
            <w:r>
              <w:t>0</w:t>
            </w:r>
          </w:p>
        </w:tc>
      </w:tr>
      <w:tr w14:paraId="2676D1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719" w:type="dxa"/>
            <w:vAlign w:val="top"/>
          </w:tcPr>
          <w:p w14:paraId="1AECA0B8">
            <w:pPr>
              <w:spacing w:line="262" w:lineRule="auto"/>
              <w:rPr>
                <w:rFonts w:ascii="Arial"/>
                <w:sz w:val="21"/>
              </w:rPr>
            </w:pPr>
          </w:p>
          <w:p w14:paraId="6F22CB80">
            <w:pPr>
              <w:spacing w:line="263" w:lineRule="auto"/>
              <w:rPr>
                <w:rFonts w:ascii="Arial"/>
                <w:sz w:val="21"/>
              </w:rPr>
            </w:pPr>
          </w:p>
          <w:p w14:paraId="269E4515">
            <w:pPr>
              <w:spacing w:line="263" w:lineRule="auto"/>
              <w:rPr>
                <w:rFonts w:ascii="Arial"/>
                <w:sz w:val="21"/>
              </w:rPr>
            </w:pPr>
          </w:p>
          <w:p w14:paraId="6996D8C0">
            <w:pPr>
              <w:pStyle w:val="7"/>
              <w:spacing w:before="91" w:line="188" w:lineRule="auto"/>
              <w:ind w:left="237"/>
            </w:pPr>
            <w:r>
              <w:rPr>
                <w:spacing w:val="-14"/>
              </w:rPr>
              <w:t>10</w:t>
            </w:r>
          </w:p>
        </w:tc>
        <w:tc>
          <w:tcPr>
            <w:tcW w:w="3002" w:type="dxa"/>
            <w:vAlign w:val="top"/>
          </w:tcPr>
          <w:p w14:paraId="6F947BDE">
            <w:pPr>
              <w:pStyle w:val="7"/>
              <w:spacing w:before="224" w:line="383" w:lineRule="auto"/>
              <w:ind w:left="11" w:right="185" w:hanging="1"/>
              <w:jc w:val="both"/>
            </w:pPr>
            <w:r>
              <w:rPr>
                <w:spacing w:val="-1"/>
              </w:rPr>
              <w:t>全球系统重要性银行或</w:t>
            </w:r>
            <w:r>
              <w:t xml:space="preserve"> </w:t>
            </w:r>
            <w:r>
              <w:rPr>
                <w:spacing w:val="-2"/>
              </w:rPr>
              <w:t>国内系统重要性银行附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加资本要求（%）</w:t>
            </w:r>
          </w:p>
        </w:tc>
        <w:tc>
          <w:tcPr>
            <w:tcW w:w="2419" w:type="dxa"/>
            <w:shd w:val="clear" w:color="auto" w:fill="BEBEBE"/>
            <w:vAlign w:val="top"/>
          </w:tcPr>
          <w:p w14:paraId="56BB2F21">
            <w:pPr>
              <w:rPr>
                <w:rFonts w:ascii="Arial"/>
                <w:sz w:val="21"/>
              </w:rPr>
            </w:pPr>
          </w:p>
        </w:tc>
        <w:tc>
          <w:tcPr>
            <w:tcW w:w="2263" w:type="dxa"/>
            <w:shd w:val="clear" w:color="auto" w:fill="BEBEBE"/>
            <w:vAlign w:val="top"/>
          </w:tcPr>
          <w:p w14:paraId="096D77A6">
            <w:pPr>
              <w:rPr>
                <w:rFonts w:ascii="Arial"/>
                <w:sz w:val="21"/>
              </w:rPr>
            </w:pPr>
          </w:p>
        </w:tc>
      </w:tr>
      <w:tr w14:paraId="5BFB47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719" w:type="dxa"/>
            <w:vAlign w:val="top"/>
          </w:tcPr>
          <w:p w14:paraId="7ABD88C6">
            <w:pPr>
              <w:spacing w:line="466" w:lineRule="auto"/>
              <w:rPr>
                <w:rFonts w:ascii="Arial"/>
                <w:sz w:val="21"/>
              </w:rPr>
            </w:pPr>
          </w:p>
          <w:p w14:paraId="2DD1BFC8">
            <w:pPr>
              <w:pStyle w:val="7"/>
              <w:spacing w:before="91" w:line="188" w:lineRule="auto"/>
              <w:ind w:left="237"/>
            </w:pPr>
            <w:r>
              <w:rPr>
                <w:spacing w:val="-14"/>
              </w:rPr>
              <w:t>11</w:t>
            </w:r>
          </w:p>
        </w:tc>
        <w:tc>
          <w:tcPr>
            <w:tcW w:w="3002" w:type="dxa"/>
            <w:vAlign w:val="top"/>
          </w:tcPr>
          <w:p w14:paraId="7F3BB667">
            <w:pPr>
              <w:pStyle w:val="7"/>
              <w:spacing w:before="212" w:line="364" w:lineRule="auto"/>
              <w:ind w:left="1" w:right="43" w:firstLine="10"/>
            </w:pPr>
            <w:r>
              <w:rPr>
                <w:spacing w:val="-1"/>
              </w:rPr>
              <w:t>其他各级资本要求（%）</w:t>
            </w:r>
            <w:r>
              <w:rPr>
                <w:spacing w:val="1"/>
              </w:rPr>
              <w:t xml:space="preserve"> </w:t>
            </w:r>
            <w:r>
              <w:t>（8+9+10）</w:t>
            </w:r>
          </w:p>
        </w:tc>
        <w:tc>
          <w:tcPr>
            <w:tcW w:w="2419" w:type="dxa"/>
            <w:vAlign w:val="center"/>
          </w:tcPr>
          <w:p w14:paraId="64371A1B">
            <w:pPr>
              <w:pStyle w:val="7"/>
              <w:spacing w:before="91" w:line="188" w:lineRule="auto"/>
              <w:jc w:val="center"/>
            </w:pPr>
            <w:r>
              <w:rPr>
                <w:spacing w:val="-7"/>
              </w:rPr>
              <w:t>2.5</w:t>
            </w:r>
          </w:p>
        </w:tc>
        <w:tc>
          <w:tcPr>
            <w:tcW w:w="2263" w:type="dxa"/>
            <w:vAlign w:val="center"/>
          </w:tcPr>
          <w:p w14:paraId="46D08AEF">
            <w:pPr>
              <w:pStyle w:val="7"/>
              <w:spacing w:before="91" w:line="188" w:lineRule="auto"/>
              <w:jc w:val="center"/>
            </w:pPr>
            <w:r>
              <w:rPr>
                <w:spacing w:val="-7"/>
              </w:rPr>
              <w:t>2.5</w:t>
            </w:r>
          </w:p>
        </w:tc>
      </w:tr>
      <w:tr w14:paraId="38029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7" w:hRule="atLeast"/>
        </w:trPr>
        <w:tc>
          <w:tcPr>
            <w:tcW w:w="719" w:type="dxa"/>
            <w:vAlign w:val="top"/>
          </w:tcPr>
          <w:p w14:paraId="122206BC">
            <w:pPr>
              <w:spacing w:line="278" w:lineRule="auto"/>
              <w:rPr>
                <w:rFonts w:ascii="Arial"/>
                <w:sz w:val="21"/>
              </w:rPr>
            </w:pPr>
          </w:p>
          <w:p w14:paraId="08BA96C9">
            <w:pPr>
              <w:spacing w:line="278" w:lineRule="auto"/>
              <w:rPr>
                <w:rFonts w:ascii="Arial"/>
                <w:sz w:val="21"/>
              </w:rPr>
            </w:pPr>
          </w:p>
          <w:p w14:paraId="69150F12">
            <w:pPr>
              <w:spacing w:line="278" w:lineRule="auto"/>
              <w:rPr>
                <w:rFonts w:ascii="Arial"/>
                <w:sz w:val="21"/>
              </w:rPr>
            </w:pPr>
          </w:p>
          <w:p w14:paraId="27F16914">
            <w:pPr>
              <w:spacing w:line="278" w:lineRule="auto"/>
              <w:rPr>
                <w:rFonts w:ascii="Arial"/>
                <w:sz w:val="21"/>
              </w:rPr>
            </w:pPr>
          </w:p>
          <w:p w14:paraId="4259199D">
            <w:pPr>
              <w:pStyle w:val="7"/>
              <w:spacing w:before="91" w:line="188" w:lineRule="auto"/>
              <w:ind w:left="237"/>
            </w:pPr>
            <w:r>
              <w:rPr>
                <w:spacing w:val="-14"/>
              </w:rPr>
              <w:t>12</w:t>
            </w:r>
          </w:p>
        </w:tc>
        <w:tc>
          <w:tcPr>
            <w:tcW w:w="3002" w:type="dxa"/>
            <w:vAlign w:val="top"/>
          </w:tcPr>
          <w:p w14:paraId="20ECA3C8">
            <w:pPr>
              <w:pStyle w:val="7"/>
              <w:spacing w:before="238" w:line="392" w:lineRule="auto"/>
              <w:ind w:left="1" w:right="185" w:firstLine="22"/>
              <w:jc w:val="both"/>
            </w:pPr>
            <w:r>
              <w:rPr>
                <w:spacing w:val="-3"/>
              </w:rPr>
              <w:t>满足最低资本要求后的</w:t>
            </w:r>
            <w:r>
              <w:rPr>
                <w:spacing w:val="6"/>
              </w:rPr>
              <w:t xml:space="preserve"> </w:t>
            </w:r>
            <w:r>
              <w:t>可用核心一级资本净额 占风险加权资产的比例 （%）</w:t>
            </w:r>
          </w:p>
        </w:tc>
        <w:tc>
          <w:tcPr>
            <w:tcW w:w="2419" w:type="dxa"/>
            <w:vAlign w:val="center"/>
          </w:tcPr>
          <w:p w14:paraId="58331BE1">
            <w:pPr>
              <w:pStyle w:val="7"/>
              <w:spacing w:before="91" w:line="188" w:lineRule="auto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/>
                <w:spacing w:val="-8"/>
                <w:highlight w:val="none"/>
                <w:lang w:val="en-US" w:eastAsia="zh-CN"/>
              </w:rPr>
              <w:t>4.90</w:t>
            </w:r>
          </w:p>
        </w:tc>
        <w:tc>
          <w:tcPr>
            <w:tcW w:w="2263" w:type="dxa"/>
            <w:vAlign w:val="center"/>
          </w:tcPr>
          <w:p w14:paraId="4E5A55C8">
            <w:pPr>
              <w:pStyle w:val="7"/>
              <w:spacing w:before="91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spacing w:val="-8"/>
                <w:highlight w:val="none"/>
                <w:lang w:val="en-US" w:eastAsia="zh-CN"/>
              </w:rPr>
              <w:t>4.63</w:t>
            </w:r>
          </w:p>
        </w:tc>
      </w:tr>
      <w:tr w14:paraId="6B319C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403" w:type="dxa"/>
            <w:gridSpan w:val="4"/>
            <w:shd w:val="clear" w:color="auto" w:fill="D9D9D9"/>
            <w:vAlign w:val="top"/>
          </w:tcPr>
          <w:p w14:paraId="1295F978">
            <w:pPr>
              <w:pStyle w:val="7"/>
              <w:spacing w:before="178" w:line="214" w:lineRule="auto"/>
              <w:ind w:left="22"/>
            </w:pPr>
            <w:r>
              <w:rPr>
                <w:b/>
                <w:bCs/>
                <w:spacing w:val="-7"/>
              </w:rPr>
              <w:t>杠杆率</w:t>
            </w:r>
          </w:p>
        </w:tc>
      </w:tr>
      <w:tr w14:paraId="5681C8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19" w:type="dxa"/>
            <w:vAlign w:val="top"/>
          </w:tcPr>
          <w:p w14:paraId="08A2A4AA">
            <w:pPr>
              <w:pStyle w:val="7"/>
              <w:spacing w:before="229" w:line="188" w:lineRule="auto"/>
              <w:ind w:left="237"/>
            </w:pPr>
            <w:r>
              <w:rPr>
                <w:spacing w:val="-14"/>
              </w:rPr>
              <w:t>13</w:t>
            </w:r>
          </w:p>
        </w:tc>
        <w:tc>
          <w:tcPr>
            <w:tcW w:w="3002" w:type="dxa"/>
            <w:vAlign w:val="top"/>
          </w:tcPr>
          <w:p w14:paraId="366479DE">
            <w:pPr>
              <w:pStyle w:val="7"/>
              <w:spacing w:before="192" w:line="215" w:lineRule="auto"/>
              <w:ind w:left="11"/>
            </w:pPr>
            <w:r>
              <w:rPr>
                <w:spacing w:val="-2"/>
              </w:rPr>
              <w:t>调整后表内外资产余额</w:t>
            </w:r>
          </w:p>
        </w:tc>
        <w:tc>
          <w:tcPr>
            <w:tcW w:w="2419" w:type="dxa"/>
            <w:vAlign w:val="center"/>
          </w:tcPr>
          <w:p w14:paraId="53E09CBF">
            <w:pPr>
              <w:pStyle w:val="7"/>
              <w:spacing w:before="228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spacing w:val="-3"/>
                <w:highlight w:val="none"/>
                <w:lang w:val="en-US" w:eastAsia="zh-CN"/>
              </w:rPr>
              <w:t>31,645,955.22</w:t>
            </w:r>
          </w:p>
        </w:tc>
        <w:tc>
          <w:tcPr>
            <w:tcW w:w="2263" w:type="dxa"/>
            <w:vAlign w:val="center"/>
          </w:tcPr>
          <w:p w14:paraId="3DAC8DA0">
            <w:pPr>
              <w:pStyle w:val="7"/>
              <w:spacing w:before="302" w:line="188" w:lineRule="auto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31,368,108.45</w:t>
            </w:r>
          </w:p>
        </w:tc>
      </w:tr>
      <w:tr w14:paraId="5894B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19" w:type="dxa"/>
            <w:vAlign w:val="top"/>
          </w:tcPr>
          <w:p w14:paraId="557D5B43">
            <w:pPr>
              <w:pStyle w:val="7"/>
              <w:spacing w:before="230" w:line="188" w:lineRule="auto"/>
              <w:ind w:left="237"/>
            </w:pPr>
            <w:r>
              <w:rPr>
                <w:spacing w:val="-14"/>
              </w:rPr>
              <w:t>14</w:t>
            </w:r>
          </w:p>
        </w:tc>
        <w:tc>
          <w:tcPr>
            <w:tcW w:w="3002" w:type="dxa"/>
            <w:vAlign w:val="top"/>
          </w:tcPr>
          <w:p w14:paraId="5841EAE4">
            <w:pPr>
              <w:pStyle w:val="7"/>
              <w:spacing w:before="194" w:line="214" w:lineRule="auto"/>
              <w:ind w:left="14"/>
            </w:pPr>
            <w:r>
              <w:rPr>
                <w:spacing w:val="-2"/>
              </w:rPr>
              <w:t>杠杆率（%）</w:t>
            </w:r>
          </w:p>
        </w:tc>
        <w:tc>
          <w:tcPr>
            <w:tcW w:w="2419" w:type="dxa"/>
            <w:vAlign w:val="center"/>
          </w:tcPr>
          <w:p w14:paraId="366AEF3C">
            <w:pPr>
              <w:pStyle w:val="7"/>
              <w:spacing w:before="230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spacing w:val="-6"/>
                <w:highlight w:val="none"/>
              </w:rPr>
              <w:t>6.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28</w:t>
            </w:r>
          </w:p>
        </w:tc>
        <w:tc>
          <w:tcPr>
            <w:tcW w:w="2263" w:type="dxa"/>
            <w:vAlign w:val="center"/>
          </w:tcPr>
          <w:p w14:paraId="671CD066">
            <w:pPr>
              <w:pStyle w:val="7"/>
              <w:spacing w:before="230" w:line="188" w:lineRule="auto"/>
              <w:jc w:val="center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6.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02</w:t>
            </w:r>
          </w:p>
        </w:tc>
      </w:tr>
      <w:tr w14:paraId="1C42D8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19" w:type="dxa"/>
            <w:vAlign w:val="top"/>
          </w:tcPr>
          <w:p w14:paraId="604E85E0">
            <w:pPr>
              <w:pStyle w:val="7"/>
              <w:spacing w:before="233" w:line="188" w:lineRule="auto"/>
              <w:ind w:left="167"/>
            </w:pPr>
            <w:r>
              <w:rPr>
                <w:spacing w:val="-9"/>
              </w:rPr>
              <w:t>14a</w:t>
            </w:r>
          </w:p>
        </w:tc>
        <w:tc>
          <w:tcPr>
            <w:tcW w:w="3002" w:type="dxa"/>
            <w:vAlign w:val="top"/>
          </w:tcPr>
          <w:p w14:paraId="6CA341E5">
            <w:pPr>
              <w:pStyle w:val="7"/>
              <w:spacing w:before="196" w:line="214" w:lineRule="auto"/>
              <w:ind w:left="14"/>
            </w:pPr>
            <w:r>
              <w:rPr>
                <w:spacing w:val="-4"/>
              </w:rPr>
              <w:t>杠杆率</w:t>
            </w:r>
            <w:r>
              <w:rPr>
                <w:spacing w:val="-55"/>
              </w:rPr>
              <w:t xml:space="preserve"> </w:t>
            </w:r>
            <w:r>
              <w:rPr>
                <w:spacing w:val="-4"/>
              </w:rPr>
              <w:t>a（%）</w:t>
            </w:r>
          </w:p>
        </w:tc>
        <w:tc>
          <w:tcPr>
            <w:tcW w:w="2419" w:type="dxa"/>
            <w:vAlign w:val="center"/>
          </w:tcPr>
          <w:p w14:paraId="38D3562B">
            <w:pPr>
              <w:pStyle w:val="7"/>
              <w:spacing w:before="232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spacing w:val="-6"/>
                <w:highlight w:val="none"/>
              </w:rPr>
              <w:t>6.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28</w:t>
            </w:r>
          </w:p>
        </w:tc>
        <w:tc>
          <w:tcPr>
            <w:tcW w:w="2263" w:type="dxa"/>
            <w:vAlign w:val="center"/>
          </w:tcPr>
          <w:p w14:paraId="11204E1D">
            <w:pPr>
              <w:pStyle w:val="7"/>
              <w:spacing w:before="232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spacing w:val="-6"/>
                <w:highlight w:val="none"/>
              </w:rPr>
              <w:t>6.</w:t>
            </w:r>
            <w:r>
              <w:rPr>
                <w:rFonts w:hint="eastAsia"/>
                <w:spacing w:val="-6"/>
                <w:highlight w:val="none"/>
                <w:lang w:val="en-US" w:eastAsia="zh-CN"/>
              </w:rPr>
              <w:t>02</w:t>
            </w:r>
          </w:p>
        </w:tc>
      </w:tr>
      <w:tr w14:paraId="3FCF7E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403" w:type="dxa"/>
            <w:gridSpan w:val="4"/>
            <w:shd w:val="clear" w:color="auto" w:fill="D9D9D9"/>
            <w:vAlign w:val="top"/>
          </w:tcPr>
          <w:p w14:paraId="71729E8E">
            <w:pPr>
              <w:pStyle w:val="7"/>
              <w:spacing w:before="181" w:line="214" w:lineRule="auto"/>
              <w:ind w:left="21"/>
            </w:pPr>
            <w:r>
              <w:rPr>
                <w:b/>
                <w:bCs/>
                <w:spacing w:val="-4"/>
              </w:rPr>
              <w:t>流动性覆盖率</w:t>
            </w:r>
          </w:p>
        </w:tc>
      </w:tr>
      <w:tr w14:paraId="6CAABB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719" w:type="dxa"/>
            <w:vAlign w:val="top"/>
          </w:tcPr>
          <w:p w14:paraId="336EA18B">
            <w:pPr>
              <w:pStyle w:val="7"/>
              <w:spacing w:before="239" w:line="188" w:lineRule="auto"/>
              <w:ind w:left="237"/>
            </w:pPr>
            <w:r>
              <w:rPr>
                <w:spacing w:val="-14"/>
              </w:rPr>
              <w:t>15</w:t>
            </w:r>
          </w:p>
        </w:tc>
        <w:tc>
          <w:tcPr>
            <w:tcW w:w="3002" w:type="dxa"/>
            <w:vAlign w:val="top"/>
          </w:tcPr>
          <w:p w14:paraId="68529B88">
            <w:pPr>
              <w:pStyle w:val="7"/>
              <w:spacing w:before="202" w:line="214" w:lineRule="auto"/>
              <w:ind w:left="15"/>
            </w:pPr>
            <w:r>
              <w:rPr>
                <w:spacing w:val="-2"/>
              </w:rPr>
              <w:t>合格优质流动性资产</w:t>
            </w:r>
          </w:p>
        </w:tc>
        <w:tc>
          <w:tcPr>
            <w:tcW w:w="2419" w:type="dxa"/>
            <w:vAlign w:val="center"/>
          </w:tcPr>
          <w:p w14:paraId="1CA32248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5,297,333.71</w:t>
            </w:r>
          </w:p>
        </w:tc>
        <w:tc>
          <w:tcPr>
            <w:tcW w:w="2263" w:type="dxa"/>
            <w:vAlign w:val="center"/>
          </w:tcPr>
          <w:p w14:paraId="44784D7B">
            <w:pPr>
              <w:pStyle w:val="7"/>
              <w:spacing w:before="302" w:line="188" w:lineRule="auto"/>
              <w:jc w:val="center"/>
              <w:rPr>
                <w:rFonts w:hint="eastAsia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5,289,848.54</w:t>
            </w:r>
          </w:p>
        </w:tc>
      </w:tr>
      <w:tr w14:paraId="5AB88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719" w:type="dxa"/>
            <w:vAlign w:val="top"/>
          </w:tcPr>
          <w:p w14:paraId="58757A46">
            <w:pPr>
              <w:pStyle w:val="7"/>
              <w:spacing w:before="242" w:line="188" w:lineRule="auto"/>
              <w:ind w:left="237"/>
            </w:pPr>
            <w:r>
              <w:rPr>
                <w:spacing w:val="-14"/>
              </w:rPr>
              <w:t>16</w:t>
            </w:r>
          </w:p>
        </w:tc>
        <w:tc>
          <w:tcPr>
            <w:tcW w:w="3002" w:type="dxa"/>
            <w:vAlign w:val="top"/>
          </w:tcPr>
          <w:p w14:paraId="2E970E9B">
            <w:pPr>
              <w:pStyle w:val="7"/>
              <w:spacing w:before="206" w:line="214" w:lineRule="auto"/>
              <w:ind w:left="20"/>
            </w:pPr>
            <w:r>
              <w:rPr>
                <w:spacing w:val="-3"/>
              </w:rPr>
              <w:t>现金净流出量</w:t>
            </w:r>
          </w:p>
        </w:tc>
        <w:tc>
          <w:tcPr>
            <w:tcW w:w="2419" w:type="dxa"/>
            <w:vAlign w:val="center"/>
          </w:tcPr>
          <w:p w14:paraId="34768AF4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3,023,193.31</w:t>
            </w:r>
          </w:p>
        </w:tc>
        <w:tc>
          <w:tcPr>
            <w:tcW w:w="2263" w:type="dxa"/>
            <w:vAlign w:val="center"/>
          </w:tcPr>
          <w:p w14:paraId="5F3877A2">
            <w:pPr>
              <w:pStyle w:val="7"/>
              <w:spacing w:before="302" w:line="188" w:lineRule="auto"/>
              <w:jc w:val="center"/>
              <w:rPr>
                <w:rFonts w:hint="eastAsia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3,116,272.94</w:t>
            </w:r>
          </w:p>
        </w:tc>
      </w:tr>
      <w:tr w14:paraId="648000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19" w:type="dxa"/>
            <w:vAlign w:val="top"/>
          </w:tcPr>
          <w:p w14:paraId="3070F4B5">
            <w:pPr>
              <w:pStyle w:val="7"/>
              <w:spacing w:before="310" w:line="188" w:lineRule="auto"/>
              <w:ind w:left="237"/>
            </w:pPr>
            <w:r>
              <w:rPr>
                <w:spacing w:val="-14"/>
              </w:rPr>
              <w:t>17</w:t>
            </w:r>
          </w:p>
        </w:tc>
        <w:tc>
          <w:tcPr>
            <w:tcW w:w="3002" w:type="dxa"/>
            <w:vAlign w:val="top"/>
          </w:tcPr>
          <w:p w14:paraId="0F097E3D">
            <w:pPr>
              <w:pStyle w:val="7"/>
              <w:spacing w:before="274" w:line="214" w:lineRule="auto"/>
              <w:ind w:left="13"/>
            </w:pPr>
            <w:r>
              <w:rPr>
                <w:spacing w:val="-2"/>
              </w:rPr>
              <w:t>流动性覆盖率（%）</w:t>
            </w:r>
          </w:p>
        </w:tc>
        <w:tc>
          <w:tcPr>
            <w:tcW w:w="2419" w:type="dxa"/>
            <w:vAlign w:val="center"/>
          </w:tcPr>
          <w:p w14:paraId="79BB5200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175.22</w:t>
            </w:r>
          </w:p>
        </w:tc>
        <w:tc>
          <w:tcPr>
            <w:tcW w:w="2263" w:type="dxa"/>
            <w:vAlign w:val="center"/>
          </w:tcPr>
          <w:p w14:paraId="5D26824A">
            <w:pPr>
              <w:pStyle w:val="7"/>
              <w:spacing w:before="302" w:line="188" w:lineRule="auto"/>
              <w:jc w:val="center"/>
              <w:rPr>
                <w:rFonts w:hint="eastAsia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169.75</w:t>
            </w:r>
          </w:p>
        </w:tc>
      </w:tr>
    </w:tbl>
    <w:p w14:paraId="4BDD6DE6">
      <w:pPr>
        <w:rPr>
          <w:rFonts w:ascii="Arial"/>
          <w:sz w:val="21"/>
        </w:rPr>
      </w:pPr>
    </w:p>
    <w:p w14:paraId="4E3F6569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12" w:bottom="0" w:left="1775" w:header="0" w:footer="0" w:gutter="0"/>
          <w:cols w:space="720" w:num="1"/>
        </w:sectPr>
      </w:pPr>
    </w:p>
    <w:p w14:paraId="5D065341">
      <w:pPr>
        <w:spacing w:line="91" w:lineRule="auto"/>
        <w:rPr>
          <w:rFonts w:ascii="Arial"/>
          <w:sz w:val="2"/>
        </w:rPr>
      </w:pPr>
    </w:p>
    <w:tbl>
      <w:tblPr>
        <w:tblStyle w:val="6"/>
        <w:tblW w:w="840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3002"/>
        <w:gridCol w:w="2419"/>
        <w:gridCol w:w="2263"/>
      </w:tblGrid>
      <w:tr w14:paraId="09077D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403" w:type="dxa"/>
            <w:gridSpan w:val="4"/>
            <w:tcBorders>
              <w:top w:val="nil"/>
            </w:tcBorders>
            <w:shd w:val="clear" w:color="auto" w:fill="D9D9D9"/>
            <w:vAlign w:val="top"/>
          </w:tcPr>
          <w:p w14:paraId="5A64E432">
            <w:pPr>
              <w:pStyle w:val="7"/>
              <w:spacing w:before="193" w:line="214" w:lineRule="auto"/>
              <w:ind w:left="28"/>
            </w:pPr>
            <w:r>
              <w:rPr>
                <w:b/>
                <w:bCs/>
                <w:spacing w:val="-5"/>
              </w:rPr>
              <w:t>净稳定资金比例</w:t>
            </w:r>
          </w:p>
        </w:tc>
      </w:tr>
      <w:tr w14:paraId="1E23BD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719" w:type="dxa"/>
            <w:vAlign w:val="top"/>
          </w:tcPr>
          <w:p w14:paraId="267ABB64">
            <w:pPr>
              <w:pStyle w:val="7"/>
              <w:spacing w:before="254" w:line="188" w:lineRule="auto"/>
              <w:ind w:left="237"/>
            </w:pPr>
            <w:r>
              <w:rPr>
                <w:spacing w:val="-14"/>
              </w:rPr>
              <w:t>18</w:t>
            </w:r>
          </w:p>
        </w:tc>
        <w:tc>
          <w:tcPr>
            <w:tcW w:w="3002" w:type="dxa"/>
            <w:vAlign w:val="top"/>
          </w:tcPr>
          <w:p w14:paraId="3DDBA1F4">
            <w:pPr>
              <w:pStyle w:val="7"/>
              <w:spacing w:before="217" w:line="215" w:lineRule="auto"/>
              <w:ind w:left="24"/>
            </w:pPr>
            <w:r>
              <w:rPr>
                <w:spacing w:val="-3"/>
              </w:rPr>
              <w:t>可用稳定资金合计</w:t>
            </w:r>
          </w:p>
        </w:tc>
        <w:tc>
          <w:tcPr>
            <w:tcW w:w="2419" w:type="dxa"/>
            <w:vAlign w:val="top"/>
          </w:tcPr>
          <w:p w14:paraId="6FD2F300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22,143,433.93</w:t>
            </w:r>
          </w:p>
        </w:tc>
        <w:tc>
          <w:tcPr>
            <w:tcW w:w="2263" w:type="dxa"/>
            <w:vAlign w:val="center"/>
          </w:tcPr>
          <w:p w14:paraId="16D2EF6D">
            <w:pPr>
              <w:pStyle w:val="7"/>
              <w:spacing w:before="302" w:line="188" w:lineRule="auto"/>
              <w:jc w:val="center"/>
              <w:rPr>
                <w:rFonts w:hint="eastAsia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 xml:space="preserve"> 21,772,209.30 </w:t>
            </w:r>
          </w:p>
        </w:tc>
      </w:tr>
      <w:tr w14:paraId="5F6737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19" w:type="dxa"/>
            <w:vAlign w:val="top"/>
          </w:tcPr>
          <w:p w14:paraId="726C37EF">
            <w:pPr>
              <w:pStyle w:val="7"/>
              <w:spacing w:before="236" w:line="188" w:lineRule="auto"/>
              <w:ind w:left="237"/>
            </w:pPr>
            <w:r>
              <w:rPr>
                <w:spacing w:val="-14"/>
              </w:rPr>
              <w:t>19</w:t>
            </w:r>
          </w:p>
        </w:tc>
        <w:tc>
          <w:tcPr>
            <w:tcW w:w="3002" w:type="dxa"/>
            <w:vAlign w:val="top"/>
          </w:tcPr>
          <w:p w14:paraId="7C6409F0">
            <w:pPr>
              <w:pStyle w:val="7"/>
              <w:spacing w:before="199" w:line="215" w:lineRule="auto"/>
              <w:ind w:left="13"/>
            </w:pPr>
            <w:r>
              <w:rPr>
                <w:spacing w:val="-2"/>
              </w:rPr>
              <w:t>所需稳定资金合计</w:t>
            </w:r>
          </w:p>
        </w:tc>
        <w:tc>
          <w:tcPr>
            <w:tcW w:w="2419" w:type="dxa"/>
            <w:vAlign w:val="top"/>
          </w:tcPr>
          <w:p w14:paraId="5B11AE12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13,418,952.52</w:t>
            </w:r>
          </w:p>
        </w:tc>
        <w:tc>
          <w:tcPr>
            <w:tcW w:w="2263" w:type="dxa"/>
            <w:vAlign w:val="center"/>
          </w:tcPr>
          <w:p w14:paraId="43C6DBC0">
            <w:pPr>
              <w:pStyle w:val="7"/>
              <w:spacing w:before="302" w:line="188" w:lineRule="auto"/>
              <w:jc w:val="center"/>
              <w:rPr>
                <w:rFonts w:hint="eastAsia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 xml:space="preserve"> 13,342,547.31 </w:t>
            </w:r>
          </w:p>
        </w:tc>
      </w:tr>
      <w:tr w14:paraId="32F469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719" w:type="dxa"/>
            <w:vAlign w:val="top"/>
          </w:tcPr>
          <w:p w14:paraId="2AEB83C9">
            <w:pPr>
              <w:pStyle w:val="7"/>
              <w:spacing w:before="302" w:line="188" w:lineRule="auto"/>
              <w:ind w:left="230"/>
            </w:pPr>
            <w:r>
              <w:rPr>
                <w:spacing w:val="-10"/>
              </w:rPr>
              <w:t>20</w:t>
            </w:r>
          </w:p>
        </w:tc>
        <w:tc>
          <w:tcPr>
            <w:tcW w:w="3002" w:type="dxa"/>
            <w:vAlign w:val="top"/>
          </w:tcPr>
          <w:p w14:paraId="6EBA35B0">
            <w:pPr>
              <w:pStyle w:val="7"/>
              <w:spacing w:before="266" w:line="214" w:lineRule="auto"/>
              <w:ind w:left="19"/>
            </w:pPr>
            <w:r>
              <w:rPr>
                <w:spacing w:val="-2"/>
              </w:rPr>
              <w:t>净稳定资金比例（%）</w:t>
            </w:r>
          </w:p>
        </w:tc>
        <w:tc>
          <w:tcPr>
            <w:tcW w:w="2419" w:type="dxa"/>
            <w:vAlign w:val="top"/>
          </w:tcPr>
          <w:p w14:paraId="5A5461C9">
            <w:pPr>
              <w:pStyle w:val="7"/>
              <w:spacing w:before="302" w:line="188" w:lineRule="auto"/>
              <w:jc w:val="center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165.02</w:t>
            </w:r>
          </w:p>
        </w:tc>
        <w:tc>
          <w:tcPr>
            <w:tcW w:w="2263" w:type="dxa"/>
            <w:vAlign w:val="top"/>
          </w:tcPr>
          <w:p w14:paraId="72FF7C5A">
            <w:pPr>
              <w:pStyle w:val="7"/>
              <w:spacing w:before="302" w:line="188" w:lineRule="auto"/>
              <w:jc w:val="center"/>
              <w:rPr>
                <w:rFonts w:hint="default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163.18</w:t>
            </w:r>
          </w:p>
        </w:tc>
      </w:tr>
      <w:tr w14:paraId="7F14C5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403" w:type="dxa"/>
            <w:gridSpan w:val="4"/>
            <w:shd w:val="clear" w:color="auto" w:fill="D8D8D8"/>
            <w:vAlign w:val="top"/>
          </w:tcPr>
          <w:p w14:paraId="3D1BDA11">
            <w:pPr>
              <w:pStyle w:val="7"/>
              <w:spacing w:before="180" w:line="214" w:lineRule="auto"/>
              <w:ind w:left="21"/>
            </w:pPr>
            <w:r>
              <w:rPr>
                <w:b/>
                <w:bCs/>
                <w:spacing w:val="-5"/>
              </w:rPr>
              <w:t>流动性比例</w:t>
            </w:r>
          </w:p>
        </w:tc>
      </w:tr>
      <w:tr w14:paraId="2F127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19" w:type="dxa"/>
            <w:vAlign w:val="top"/>
          </w:tcPr>
          <w:p w14:paraId="27E47ADD">
            <w:pPr>
              <w:pStyle w:val="7"/>
              <w:spacing w:before="275" w:line="188" w:lineRule="auto"/>
              <w:ind w:left="230"/>
            </w:pPr>
            <w:r>
              <w:rPr>
                <w:spacing w:val="-10"/>
              </w:rPr>
              <w:t>21</w:t>
            </w:r>
          </w:p>
        </w:tc>
        <w:tc>
          <w:tcPr>
            <w:tcW w:w="3002" w:type="dxa"/>
            <w:vAlign w:val="top"/>
          </w:tcPr>
          <w:p w14:paraId="0385E21B">
            <w:pPr>
              <w:pStyle w:val="7"/>
              <w:spacing w:before="239" w:line="214" w:lineRule="auto"/>
              <w:ind w:left="13"/>
            </w:pPr>
            <w:r>
              <w:rPr>
                <w:spacing w:val="-2"/>
              </w:rPr>
              <w:t>流动性比例（%）</w:t>
            </w:r>
          </w:p>
        </w:tc>
        <w:tc>
          <w:tcPr>
            <w:tcW w:w="2419" w:type="dxa"/>
            <w:vAlign w:val="top"/>
          </w:tcPr>
          <w:p w14:paraId="3131E91D">
            <w:pPr>
              <w:pStyle w:val="7"/>
              <w:spacing w:before="275" w:line="188" w:lineRule="auto"/>
              <w:jc w:val="center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highlight w:val="none"/>
                <w:lang w:val="en-US" w:eastAsia="zh-CN"/>
              </w:rPr>
              <w:t>120.88</w:t>
            </w:r>
          </w:p>
        </w:tc>
        <w:tc>
          <w:tcPr>
            <w:tcW w:w="2263" w:type="dxa"/>
            <w:vAlign w:val="top"/>
          </w:tcPr>
          <w:p w14:paraId="2703DD60">
            <w:pPr>
              <w:pStyle w:val="7"/>
              <w:spacing w:before="275" w:line="188" w:lineRule="auto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/>
                <w:spacing w:val="-5"/>
                <w:highlight w:val="none"/>
                <w:lang w:val="en-US" w:eastAsia="zh-CN"/>
              </w:rPr>
              <w:t>114.10</w:t>
            </w:r>
          </w:p>
        </w:tc>
      </w:tr>
    </w:tbl>
    <w:p w14:paraId="1CB48BBF">
      <w:pPr>
        <w:rPr>
          <w:rFonts w:ascii="Arial"/>
          <w:sz w:val="21"/>
        </w:rPr>
      </w:pPr>
    </w:p>
    <w:sectPr>
      <w:pgSz w:w="11906" w:h="16839"/>
      <w:pgMar w:top="1431" w:right="1712" w:bottom="0" w:left="17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F118B">
    <w:pPr>
      <w:pStyle w:val="3"/>
      <w:jc w:val="right"/>
      <w:rPr>
        <w:rFonts w:hint="eastAsia" w:ascii="楷体_GB2312" w:eastAsia="楷体_GB2312"/>
        <w:sz w:val="21"/>
        <w:szCs w:val="21"/>
      </w:rPr>
    </w:pPr>
  </w:p>
  <w:p w14:paraId="648D1774">
    <w:pPr>
      <w:pStyle w:val="3"/>
      <w:jc w:val="right"/>
      <w:rPr>
        <w:rFonts w:hint="eastAsia" w:ascii="楷体_GB2312" w:eastAsia="楷体_GB2312"/>
        <w:sz w:val="21"/>
        <w:szCs w:val="21"/>
      </w:rPr>
    </w:pPr>
  </w:p>
  <w:p w14:paraId="52D82A6D">
    <w:pPr>
      <w:pStyle w:val="3"/>
      <w:jc w:val="right"/>
      <w:rPr>
        <w:rFonts w:hint="eastAsia" w:ascii="楷体_GB2312" w:eastAsia="楷体_GB2312"/>
        <w:sz w:val="21"/>
        <w:szCs w:val="21"/>
      </w:rPr>
    </w:pPr>
  </w:p>
  <w:p w14:paraId="74167DCF">
    <w:pPr>
      <w:pStyle w:val="3"/>
      <w:jc w:val="right"/>
      <w:rPr>
        <w:rFonts w:hint="eastAsia" w:ascii="楷体_GB2312" w:eastAsia="楷体_GB2312"/>
        <w:sz w:val="21"/>
        <w:szCs w:val="21"/>
      </w:rPr>
    </w:pPr>
  </w:p>
  <w:p w14:paraId="245E0A44">
    <w:pPr>
      <w:pStyle w:val="3"/>
      <w:jc w:val="right"/>
      <w:rPr>
        <w:rFonts w:hint="eastAsia" w:ascii="楷体_GB2312" w:eastAsia="楷体_GB2312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08D1704"/>
    <w:rsid w:val="0AA55676"/>
    <w:rsid w:val="0C443240"/>
    <w:rsid w:val="22B87BDF"/>
    <w:rsid w:val="2CF74CB0"/>
    <w:rsid w:val="2E2650F3"/>
    <w:rsid w:val="399D5070"/>
    <w:rsid w:val="3A2B2AA0"/>
    <w:rsid w:val="4BA526B2"/>
    <w:rsid w:val="50383DC1"/>
    <w:rsid w:val="60015204"/>
    <w:rsid w:val="62954BB7"/>
    <w:rsid w:val="66BB48A2"/>
    <w:rsid w:val="67A81F63"/>
    <w:rsid w:val="67F84128"/>
    <w:rsid w:val="716A5515"/>
    <w:rsid w:val="7D4855CC"/>
    <w:rsid w:val="7FD17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19</TotalTime>
  <ScaleCrop>false</ScaleCrop>
  <LinksUpToDate>false</LinksUpToDate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2024-07-31T15:00:00Z</dcterms:created>
  <dc:creator>wanghuimin_01</dc:creator>
  <cp:lastModifiedBy>王馨</cp:lastModifiedBy>
  <dcterms:modified xsi:type="dcterms:W3CDTF">2026-08-24T05:41:34Z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2024-08-30T16:37:01Z</vt:filetime>
  </property>
  <property fmtid="{D5CDD505-2E9C-101B-9397-08002B2CF9AE}" pid="4" name="KSOProductBuildVer">
    <vt:lpwstr>2052-12.1.0.23125</vt:lpwstr>
  </property>
  <property fmtid="{D5CDD505-2E9C-101B-9397-08002B2CF9AE}" pid="5" name="ICV">
    <vt:lpwstr>4E5FBC7876AE4B73AAEE60DA2F392D8A_13</vt:lpwstr>
  </property>
</Properties>
</file>