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AECAE">
      <w:pPr>
        <w:spacing w:before="121" w:line="207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莱商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银行股份有限公司202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半年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度</w:t>
      </w:r>
    </w:p>
    <w:p w14:paraId="3E79E229">
      <w:pPr>
        <w:spacing w:before="121" w:line="207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第三支柱信息披露报告</w:t>
      </w:r>
    </w:p>
    <w:p w14:paraId="3E7B9033">
      <w:pPr>
        <w:spacing w:before="121" w:line="207" w:lineRule="auto"/>
        <w:jc w:val="center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（资本构成）</w:t>
      </w:r>
    </w:p>
    <w:p w14:paraId="6C145FAE">
      <w:pPr>
        <w:spacing w:line="332" w:lineRule="auto"/>
        <w:rPr>
          <w:rFonts w:ascii="Arial"/>
          <w:sz w:val="21"/>
        </w:rPr>
      </w:pPr>
    </w:p>
    <w:p w14:paraId="172F68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本报告根据《商业银行资本管理办法》的相关规定披露，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本报告数据为合并口径。</w:t>
      </w:r>
    </w:p>
    <w:p w14:paraId="7FB6E85B">
      <w:pPr>
        <w:spacing w:before="101" w:line="227" w:lineRule="auto"/>
        <w:ind w:left="5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表格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>CC</w:t>
      </w:r>
      <w:r>
        <w:rPr>
          <w:rFonts w:ascii="黑体" w:hAnsi="黑体" w:eastAsia="黑体" w:cs="黑体"/>
          <w:spacing w:val="6"/>
          <w:sz w:val="31"/>
          <w:szCs w:val="31"/>
        </w:rPr>
        <w:t>1：资本构成</w:t>
      </w:r>
    </w:p>
    <w:p w14:paraId="6CAF5BE8">
      <w:pPr>
        <w:spacing w:before="126" w:line="214" w:lineRule="auto"/>
        <w:ind w:left="6780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13"/>
          <w:sz w:val="24"/>
          <w:szCs w:val="24"/>
        </w:rPr>
        <w:t>单位：人民币万元，%</w:t>
      </w:r>
    </w:p>
    <w:p w14:paraId="010CBC18">
      <w:pPr>
        <w:spacing w:before="66"/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382BC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644" w:type="dxa"/>
            <w:gridSpan w:val="2"/>
            <w:vMerge w:val="restart"/>
            <w:tcBorders>
              <w:bottom w:val="nil"/>
            </w:tcBorders>
            <w:vAlign w:val="top"/>
          </w:tcPr>
          <w:p w14:paraId="511F0810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4A1D1AAC">
            <w:pPr>
              <w:pStyle w:val="7"/>
              <w:spacing w:before="290" w:line="224" w:lineRule="exact"/>
              <w:ind w:left="1043"/>
            </w:pPr>
            <w:r>
              <w:rPr>
                <w:position w:val="-1"/>
              </w:rPr>
              <w:t>a</w:t>
            </w:r>
          </w:p>
        </w:tc>
        <w:tc>
          <w:tcPr>
            <w:tcW w:w="1461" w:type="dxa"/>
            <w:vAlign w:val="top"/>
          </w:tcPr>
          <w:p w14:paraId="6A0A99F6">
            <w:pPr>
              <w:pStyle w:val="7"/>
              <w:spacing w:before="192" w:line="369" w:lineRule="exact"/>
              <w:ind w:left="673"/>
            </w:pPr>
            <w:r>
              <w:rPr>
                <w:position w:val="1"/>
              </w:rPr>
              <w:t>b</w:t>
            </w:r>
          </w:p>
        </w:tc>
      </w:tr>
      <w:tr w14:paraId="0DFEA2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7064D67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1B9EF03C">
            <w:pPr>
              <w:pStyle w:val="7"/>
              <w:spacing w:before="189" w:line="218" w:lineRule="auto"/>
              <w:ind w:left="835"/>
            </w:pPr>
            <w:r>
              <w:rPr>
                <w:b/>
                <w:bCs/>
                <w:spacing w:val="-12"/>
              </w:rPr>
              <w:t>数额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 w14:paraId="07F3821B">
            <w:pPr>
              <w:spacing w:line="420" w:lineRule="auto"/>
              <w:rPr>
                <w:rFonts w:ascii="Arial"/>
                <w:sz w:val="21"/>
              </w:rPr>
            </w:pPr>
          </w:p>
          <w:p w14:paraId="3C5A055A">
            <w:pPr>
              <w:pStyle w:val="7"/>
              <w:spacing w:before="91" w:line="218" w:lineRule="auto"/>
              <w:ind w:left="456"/>
            </w:pPr>
            <w:r>
              <w:rPr>
                <w:b/>
                <w:bCs/>
                <w:spacing w:val="-7"/>
              </w:rPr>
              <w:t>代码</w:t>
            </w:r>
          </w:p>
        </w:tc>
      </w:tr>
      <w:tr w14:paraId="65F65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644" w:type="dxa"/>
            <w:gridSpan w:val="2"/>
            <w:vMerge w:val="continue"/>
            <w:tcBorders>
              <w:top w:val="nil"/>
            </w:tcBorders>
            <w:vAlign w:val="top"/>
          </w:tcPr>
          <w:p w14:paraId="1AEE5A19">
            <w:pPr>
              <w:rPr>
                <w:rFonts w:ascii="Arial"/>
                <w:sz w:val="21"/>
              </w:rPr>
            </w:pPr>
          </w:p>
        </w:tc>
        <w:tc>
          <w:tcPr>
            <w:tcW w:w="2198" w:type="dxa"/>
            <w:vAlign w:val="top"/>
          </w:tcPr>
          <w:p w14:paraId="4F95C53B">
            <w:pPr>
              <w:pStyle w:val="7"/>
              <w:spacing w:before="188" w:line="216" w:lineRule="auto"/>
              <w:jc w:val="right"/>
            </w:pPr>
            <w:r>
              <w:rPr>
                <w:b/>
                <w:bCs/>
                <w:spacing w:val="-20"/>
              </w:rPr>
              <w:t>202</w:t>
            </w:r>
            <w:r>
              <w:rPr>
                <w:rFonts w:hint="eastAsia"/>
                <w:b/>
                <w:bCs/>
                <w:spacing w:val="-20"/>
                <w:lang w:val="en-US" w:eastAsia="zh-CN"/>
              </w:rPr>
              <w:t>6</w:t>
            </w:r>
            <w:r>
              <w:rPr>
                <w:spacing w:val="-52"/>
              </w:rPr>
              <w:t xml:space="preserve"> </w:t>
            </w:r>
            <w:r>
              <w:rPr>
                <w:b/>
                <w:bCs/>
                <w:spacing w:val="-20"/>
              </w:rPr>
              <w:t>年</w:t>
            </w:r>
            <w:r>
              <w:rPr>
                <w:spacing w:val="-47"/>
              </w:rPr>
              <w:t xml:space="preserve"> </w:t>
            </w:r>
            <w:r>
              <w:rPr>
                <w:rFonts w:hint="eastAsia"/>
                <w:b/>
                <w:bCs/>
                <w:spacing w:val="-20"/>
                <w:lang w:val="en-US" w:eastAsia="zh-CN"/>
              </w:rPr>
              <w:t>6</w:t>
            </w:r>
            <w:r>
              <w:rPr>
                <w:b/>
                <w:bCs/>
                <w:spacing w:val="-20"/>
              </w:rPr>
              <w:t>月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-20"/>
              </w:rPr>
              <w:t>3</w:t>
            </w:r>
            <w:r>
              <w:rPr>
                <w:rFonts w:hint="eastAsia"/>
                <w:b/>
                <w:bCs/>
                <w:spacing w:val="-20"/>
                <w:lang w:val="en-US" w:eastAsia="zh-CN"/>
              </w:rPr>
              <w:t>0</w:t>
            </w:r>
            <w:r>
              <w:rPr>
                <w:b/>
                <w:bCs/>
                <w:spacing w:val="-20"/>
              </w:rPr>
              <w:t>日</w:t>
            </w:r>
          </w:p>
        </w:tc>
        <w:tc>
          <w:tcPr>
            <w:tcW w:w="1461" w:type="dxa"/>
            <w:vMerge w:val="continue"/>
            <w:tcBorders>
              <w:top w:val="nil"/>
            </w:tcBorders>
            <w:vAlign w:val="top"/>
          </w:tcPr>
          <w:p w14:paraId="1D06C763">
            <w:pPr>
              <w:rPr>
                <w:rFonts w:ascii="Arial"/>
                <w:sz w:val="21"/>
              </w:rPr>
            </w:pPr>
          </w:p>
        </w:tc>
      </w:tr>
      <w:tr w14:paraId="0336E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4A214699">
            <w:pPr>
              <w:pStyle w:val="7"/>
              <w:spacing w:before="191" w:line="215" w:lineRule="auto"/>
              <w:ind w:left="24"/>
            </w:pPr>
            <w:r>
              <w:rPr>
                <w:b/>
                <w:bCs/>
                <w:spacing w:val="-4"/>
              </w:rPr>
              <w:t>核心一级资本</w:t>
            </w:r>
          </w:p>
        </w:tc>
      </w:tr>
      <w:tr w14:paraId="556C6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6BBC2CE">
            <w:pPr>
              <w:pStyle w:val="7"/>
              <w:spacing w:before="226" w:line="188" w:lineRule="auto"/>
              <w:ind w:left="448"/>
            </w:pPr>
            <w:r>
              <w:t>1</w:t>
            </w:r>
          </w:p>
        </w:tc>
        <w:tc>
          <w:tcPr>
            <w:tcW w:w="4659" w:type="dxa"/>
            <w:vAlign w:val="top"/>
          </w:tcPr>
          <w:p w14:paraId="6AE942E3">
            <w:pPr>
              <w:pStyle w:val="7"/>
              <w:spacing w:before="190" w:line="215" w:lineRule="auto"/>
              <w:ind w:left="36"/>
            </w:pPr>
            <w:r>
              <w:rPr>
                <w:spacing w:val="-2"/>
              </w:rPr>
              <w:t>实收资本和资本公积可计入部分</w:t>
            </w:r>
          </w:p>
        </w:tc>
        <w:tc>
          <w:tcPr>
            <w:tcW w:w="2198" w:type="dxa"/>
            <w:vAlign w:val="top"/>
          </w:tcPr>
          <w:p w14:paraId="201ED9EF">
            <w:pPr>
              <w:pStyle w:val="7"/>
              <w:spacing w:before="226" w:line="188" w:lineRule="auto"/>
              <w:ind w:right="8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911,726.32</w:t>
            </w:r>
          </w:p>
        </w:tc>
        <w:tc>
          <w:tcPr>
            <w:tcW w:w="1461" w:type="dxa"/>
            <w:vAlign w:val="top"/>
          </w:tcPr>
          <w:p w14:paraId="3A889EF5">
            <w:pPr>
              <w:pStyle w:val="7"/>
              <w:spacing w:before="190" w:line="215" w:lineRule="auto"/>
              <w:ind w:left="533"/>
            </w:pPr>
            <w:r>
              <w:rPr>
                <w:spacing w:val="-5"/>
              </w:rPr>
              <w:t>e+g</w:t>
            </w:r>
          </w:p>
        </w:tc>
      </w:tr>
      <w:tr w14:paraId="5271A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10F2B6A">
            <w:pPr>
              <w:pStyle w:val="7"/>
              <w:spacing w:before="228" w:line="188" w:lineRule="auto"/>
              <w:ind w:left="441"/>
            </w:pPr>
            <w:r>
              <w:t>2</w:t>
            </w:r>
          </w:p>
        </w:tc>
        <w:tc>
          <w:tcPr>
            <w:tcW w:w="4659" w:type="dxa"/>
            <w:vAlign w:val="top"/>
          </w:tcPr>
          <w:p w14:paraId="55ABC8D4">
            <w:pPr>
              <w:pStyle w:val="7"/>
              <w:spacing w:before="192" w:line="216" w:lineRule="auto"/>
              <w:ind w:left="57"/>
            </w:pPr>
            <w:r>
              <w:rPr>
                <w:spacing w:val="-12"/>
              </w:rPr>
              <w:t>留存收益</w:t>
            </w:r>
          </w:p>
        </w:tc>
        <w:tc>
          <w:tcPr>
            <w:tcW w:w="2198" w:type="dxa"/>
            <w:vAlign w:val="top"/>
          </w:tcPr>
          <w:p w14:paraId="4738BAAB">
            <w:pPr>
              <w:pStyle w:val="7"/>
              <w:spacing w:before="228" w:line="188" w:lineRule="auto"/>
              <w:ind w:right="8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623,232.57</w:t>
            </w:r>
          </w:p>
        </w:tc>
        <w:tc>
          <w:tcPr>
            <w:tcW w:w="1461" w:type="dxa"/>
            <w:vAlign w:val="top"/>
          </w:tcPr>
          <w:p w14:paraId="22A21463">
            <w:pPr>
              <w:rPr>
                <w:rFonts w:ascii="Arial"/>
                <w:sz w:val="21"/>
              </w:rPr>
            </w:pPr>
          </w:p>
        </w:tc>
      </w:tr>
      <w:tr w14:paraId="17566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0A713668">
            <w:pPr>
              <w:pStyle w:val="7"/>
              <w:spacing w:before="227" w:line="188" w:lineRule="auto"/>
              <w:ind w:left="372"/>
            </w:pPr>
            <w:r>
              <w:rPr>
                <w:spacing w:val="-10"/>
              </w:rPr>
              <w:t>2a</w:t>
            </w:r>
          </w:p>
        </w:tc>
        <w:tc>
          <w:tcPr>
            <w:tcW w:w="4659" w:type="dxa"/>
            <w:vAlign w:val="top"/>
          </w:tcPr>
          <w:p w14:paraId="37CA6AB3">
            <w:pPr>
              <w:pStyle w:val="7"/>
              <w:spacing w:before="190" w:line="216" w:lineRule="auto"/>
              <w:ind w:left="30"/>
            </w:pPr>
            <w:r>
              <w:rPr>
                <w:spacing w:val="-5"/>
              </w:rPr>
              <w:t>盈余公积</w:t>
            </w:r>
          </w:p>
        </w:tc>
        <w:tc>
          <w:tcPr>
            <w:tcW w:w="2198" w:type="dxa"/>
            <w:vAlign w:val="top"/>
          </w:tcPr>
          <w:p w14:paraId="681E6DC9">
            <w:pPr>
              <w:pStyle w:val="7"/>
              <w:spacing w:before="227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106,202.56</w:t>
            </w:r>
          </w:p>
        </w:tc>
        <w:tc>
          <w:tcPr>
            <w:tcW w:w="1461" w:type="dxa"/>
            <w:vAlign w:val="top"/>
          </w:tcPr>
          <w:p w14:paraId="2700FC57">
            <w:pPr>
              <w:pStyle w:val="7"/>
              <w:spacing w:before="190" w:line="373" w:lineRule="exact"/>
              <w:ind w:left="670"/>
            </w:pPr>
            <w:r>
              <w:rPr>
                <w:position w:val="1"/>
              </w:rPr>
              <w:t>h</w:t>
            </w:r>
          </w:p>
        </w:tc>
      </w:tr>
      <w:tr w14:paraId="2D807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85" w:type="dxa"/>
            <w:vAlign w:val="top"/>
          </w:tcPr>
          <w:p w14:paraId="5836BA4F">
            <w:pPr>
              <w:pStyle w:val="7"/>
              <w:spacing w:before="189" w:line="369" w:lineRule="exact"/>
              <w:ind w:left="372"/>
            </w:pPr>
            <w:r>
              <w:rPr>
                <w:spacing w:val="-10"/>
                <w:position w:val="1"/>
              </w:rPr>
              <w:t>2b</w:t>
            </w:r>
          </w:p>
        </w:tc>
        <w:tc>
          <w:tcPr>
            <w:tcW w:w="4659" w:type="dxa"/>
            <w:vAlign w:val="top"/>
          </w:tcPr>
          <w:p w14:paraId="3F02811D">
            <w:pPr>
              <w:pStyle w:val="7"/>
              <w:spacing w:before="189" w:line="216" w:lineRule="auto"/>
              <w:ind w:left="39"/>
            </w:pPr>
            <w:r>
              <w:rPr>
                <w:spacing w:val="-5"/>
              </w:rPr>
              <w:t>一般风险准备</w:t>
            </w:r>
          </w:p>
        </w:tc>
        <w:tc>
          <w:tcPr>
            <w:tcW w:w="2198" w:type="dxa"/>
            <w:vAlign w:val="top"/>
          </w:tcPr>
          <w:p w14:paraId="01A403B8">
            <w:pPr>
              <w:pStyle w:val="7"/>
              <w:spacing w:before="226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248,737.07</w:t>
            </w:r>
          </w:p>
        </w:tc>
        <w:tc>
          <w:tcPr>
            <w:tcW w:w="1461" w:type="dxa"/>
            <w:vAlign w:val="top"/>
          </w:tcPr>
          <w:p w14:paraId="6C304E6B">
            <w:pPr>
              <w:pStyle w:val="7"/>
              <w:spacing w:before="189" w:line="373" w:lineRule="exact"/>
              <w:ind w:left="698"/>
            </w:pPr>
            <w:r>
              <w:rPr>
                <w:position w:val="1"/>
              </w:rPr>
              <w:t>i</w:t>
            </w:r>
          </w:p>
        </w:tc>
      </w:tr>
      <w:tr w14:paraId="3763F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573A9037">
            <w:pPr>
              <w:pStyle w:val="7"/>
              <w:spacing w:before="228" w:line="188" w:lineRule="auto"/>
              <w:ind w:left="372"/>
            </w:pPr>
            <w:r>
              <w:rPr>
                <w:spacing w:val="-10"/>
              </w:rPr>
              <w:t>2c</w:t>
            </w:r>
          </w:p>
        </w:tc>
        <w:tc>
          <w:tcPr>
            <w:tcW w:w="4659" w:type="dxa"/>
            <w:vAlign w:val="top"/>
          </w:tcPr>
          <w:p w14:paraId="575A75C3">
            <w:pPr>
              <w:pStyle w:val="7"/>
              <w:spacing w:before="192" w:line="214" w:lineRule="auto"/>
              <w:ind w:left="21"/>
            </w:pPr>
            <w:r>
              <w:rPr>
                <w:spacing w:val="-2"/>
              </w:rPr>
              <w:t>未分配利润</w:t>
            </w:r>
          </w:p>
        </w:tc>
        <w:tc>
          <w:tcPr>
            <w:tcW w:w="2198" w:type="dxa"/>
            <w:vAlign w:val="top"/>
          </w:tcPr>
          <w:p w14:paraId="34BB255C">
            <w:pPr>
              <w:pStyle w:val="7"/>
              <w:spacing w:before="228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268,292.94</w:t>
            </w:r>
          </w:p>
        </w:tc>
        <w:tc>
          <w:tcPr>
            <w:tcW w:w="1461" w:type="dxa"/>
            <w:vAlign w:val="top"/>
          </w:tcPr>
          <w:p w14:paraId="03B0ABA5">
            <w:pPr>
              <w:pStyle w:val="7"/>
              <w:spacing w:before="192" w:line="215" w:lineRule="auto"/>
              <w:ind w:left="689"/>
            </w:pPr>
            <w:r>
              <w:t>j</w:t>
            </w:r>
          </w:p>
        </w:tc>
      </w:tr>
      <w:tr w14:paraId="18A6F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85" w:type="dxa"/>
            <w:vAlign w:val="top"/>
          </w:tcPr>
          <w:p w14:paraId="0639AE5D">
            <w:pPr>
              <w:pStyle w:val="7"/>
              <w:spacing w:before="227" w:line="188" w:lineRule="auto"/>
              <w:ind w:left="452"/>
            </w:pPr>
            <w:r>
              <w:t>3</w:t>
            </w:r>
          </w:p>
        </w:tc>
        <w:tc>
          <w:tcPr>
            <w:tcW w:w="4659" w:type="dxa"/>
            <w:vAlign w:val="top"/>
          </w:tcPr>
          <w:p w14:paraId="52E515EC">
            <w:pPr>
              <w:pStyle w:val="7"/>
              <w:spacing w:before="191" w:line="214" w:lineRule="auto"/>
              <w:ind w:left="36"/>
            </w:pPr>
            <w:r>
              <w:rPr>
                <w:spacing w:val="-3"/>
              </w:rPr>
              <w:t>累计其他综合收益</w:t>
            </w:r>
          </w:p>
        </w:tc>
        <w:tc>
          <w:tcPr>
            <w:tcW w:w="2198" w:type="dxa"/>
            <w:vAlign w:val="top"/>
          </w:tcPr>
          <w:p w14:paraId="29F1A8C9">
            <w:pPr>
              <w:pStyle w:val="7"/>
              <w:spacing w:before="227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56,071.38</w:t>
            </w:r>
          </w:p>
        </w:tc>
        <w:tc>
          <w:tcPr>
            <w:tcW w:w="1461" w:type="dxa"/>
            <w:vAlign w:val="top"/>
          </w:tcPr>
          <w:p w14:paraId="5BFD6F76">
            <w:pPr>
              <w:rPr>
                <w:rFonts w:ascii="Arial"/>
                <w:sz w:val="21"/>
              </w:rPr>
            </w:pPr>
          </w:p>
        </w:tc>
      </w:tr>
      <w:tr w14:paraId="0BA0B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F6140AB">
            <w:pPr>
              <w:pStyle w:val="7"/>
              <w:spacing w:before="229" w:line="188" w:lineRule="auto"/>
              <w:ind w:left="440"/>
            </w:pPr>
            <w:r>
              <w:t>4</w:t>
            </w:r>
          </w:p>
        </w:tc>
        <w:tc>
          <w:tcPr>
            <w:tcW w:w="4659" w:type="dxa"/>
            <w:vAlign w:val="top"/>
          </w:tcPr>
          <w:p w14:paraId="6E38A26A">
            <w:pPr>
              <w:pStyle w:val="7"/>
              <w:spacing w:before="193" w:line="215" w:lineRule="auto"/>
              <w:ind w:left="21"/>
            </w:pPr>
            <w:r>
              <w:rPr>
                <w:spacing w:val="-1"/>
              </w:rPr>
              <w:t>少数股东资本可计入部分</w:t>
            </w:r>
          </w:p>
        </w:tc>
        <w:tc>
          <w:tcPr>
            <w:tcW w:w="2198" w:type="dxa"/>
            <w:vAlign w:val="top"/>
          </w:tcPr>
          <w:p w14:paraId="6331635F">
            <w:pPr>
              <w:pStyle w:val="7"/>
              <w:spacing w:before="323" w:line="191" w:lineRule="exact"/>
              <w:ind w:right="1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97,676.22</w:t>
            </w:r>
          </w:p>
        </w:tc>
        <w:tc>
          <w:tcPr>
            <w:tcW w:w="1461" w:type="dxa"/>
            <w:vAlign w:val="top"/>
          </w:tcPr>
          <w:p w14:paraId="66E08045">
            <w:pPr>
              <w:rPr>
                <w:rFonts w:ascii="Arial"/>
                <w:sz w:val="21"/>
              </w:rPr>
            </w:pPr>
          </w:p>
        </w:tc>
      </w:tr>
      <w:tr w14:paraId="13BA1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85" w:type="dxa"/>
            <w:vAlign w:val="top"/>
          </w:tcPr>
          <w:p w14:paraId="62CF98B2">
            <w:pPr>
              <w:pStyle w:val="7"/>
              <w:spacing w:before="233" w:line="185" w:lineRule="auto"/>
              <w:ind w:left="445"/>
            </w:pPr>
            <w:r>
              <w:t>5</w:t>
            </w:r>
          </w:p>
        </w:tc>
        <w:tc>
          <w:tcPr>
            <w:tcW w:w="4659" w:type="dxa"/>
            <w:vAlign w:val="top"/>
          </w:tcPr>
          <w:p w14:paraId="60473769">
            <w:pPr>
              <w:pStyle w:val="7"/>
              <w:spacing w:before="192" w:line="215" w:lineRule="auto"/>
              <w:ind w:left="30"/>
            </w:pPr>
            <w:r>
              <w:rPr>
                <w:b/>
                <w:bCs/>
                <w:spacing w:val="-4"/>
              </w:rPr>
              <w:t>扣除前的核心一级资本</w:t>
            </w:r>
          </w:p>
        </w:tc>
        <w:tc>
          <w:tcPr>
            <w:tcW w:w="2198" w:type="dxa"/>
            <w:vAlign w:val="top"/>
          </w:tcPr>
          <w:p w14:paraId="7E796DD0">
            <w:pPr>
              <w:pStyle w:val="7"/>
              <w:spacing w:before="228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1,688,706.49</w:t>
            </w:r>
          </w:p>
        </w:tc>
        <w:tc>
          <w:tcPr>
            <w:tcW w:w="1461" w:type="dxa"/>
            <w:vAlign w:val="top"/>
          </w:tcPr>
          <w:p w14:paraId="68D7B225">
            <w:pPr>
              <w:rPr>
                <w:rFonts w:ascii="Arial"/>
                <w:sz w:val="21"/>
              </w:rPr>
            </w:pPr>
          </w:p>
        </w:tc>
      </w:tr>
      <w:tr w14:paraId="76BDE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03B12950">
            <w:pPr>
              <w:pStyle w:val="7"/>
              <w:spacing w:before="192" w:line="215" w:lineRule="auto"/>
              <w:ind w:left="24"/>
            </w:pPr>
            <w:r>
              <w:rPr>
                <w:b/>
                <w:bCs/>
                <w:spacing w:val="-3"/>
              </w:rPr>
              <w:t>核心一级资本：扣除项</w:t>
            </w:r>
          </w:p>
        </w:tc>
      </w:tr>
    </w:tbl>
    <w:p w14:paraId="7A640BE6">
      <w:pPr>
        <w:rPr>
          <w:rFonts w:ascii="Arial"/>
          <w:sz w:val="21"/>
        </w:rPr>
      </w:pPr>
    </w:p>
    <w:p w14:paraId="594EF1DF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814" w:right="1474" w:bottom="1474" w:left="1474" w:header="0" w:footer="0" w:gutter="0"/>
          <w:cols w:space="720" w:num="1"/>
        </w:sectPr>
      </w:pPr>
      <w:bookmarkStart w:id="0" w:name="_GoBack"/>
      <w:bookmarkEnd w:id="0"/>
    </w:p>
    <w:p w14:paraId="329680B9">
      <w:pPr>
        <w:spacing w:line="91" w:lineRule="auto"/>
        <w:rPr>
          <w:rFonts w:ascii="Arial"/>
          <w:sz w:val="2"/>
        </w:rPr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515AF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85" w:type="dxa"/>
            <w:vAlign w:val="top"/>
          </w:tcPr>
          <w:p w14:paraId="29F0F08E">
            <w:pPr>
              <w:pStyle w:val="7"/>
              <w:spacing w:before="229" w:line="188" w:lineRule="auto"/>
              <w:ind w:left="444"/>
            </w:pPr>
            <w:r>
              <w:t>6</w:t>
            </w:r>
          </w:p>
        </w:tc>
        <w:tc>
          <w:tcPr>
            <w:tcW w:w="4659" w:type="dxa"/>
            <w:vAlign w:val="top"/>
          </w:tcPr>
          <w:p w14:paraId="3381117B">
            <w:pPr>
              <w:pStyle w:val="7"/>
              <w:spacing w:before="192" w:line="215" w:lineRule="auto"/>
              <w:ind w:left="40"/>
            </w:pPr>
            <w:r>
              <w:rPr>
                <w:spacing w:val="-5"/>
              </w:rPr>
              <w:t>审慎估值调整</w:t>
            </w:r>
          </w:p>
        </w:tc>
        <w:tc>
          <w:tcPr>
            <w:tcW w:w="2198" w:type="dxa"/>
            <w:vAlign w:val="top"/>
          </w:tcPr>
          <w:p w14:paraId="6DB91731">
            <w:pPr>
              <w:pStyle w:val="7"/>
              <w:spacing w:before="322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48A6ACBF">
            <w:pPr>
              <w:rPr>
                <w:rFonts w:ascii="Arial"/>
                <w:sz w:val="21"/>
              </w:rPr>
            </w:pPr>
          </w:p>
        </w:tc>
      </w:tr>
      <w:tr w14:paraId="47EB2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EF0853C">
            <w:pPr>
              <w:pStyle w:val="7"/>
              <w:spacing w:before="230" w:line="185" w:lineRule="auto"/>
              <w:ind w:left="444"/>
            </w:pPr>
            <w:r>
              <w:t>7</w:t>
            </w:r>
          </w:p>
        </w:tc>
        <w:tc>
          <w:tcPr>
            <w:tcW w:w="4659" w:type="dxa"/>
            <w:vAlign w:val="top"/>
          </w:tcPr>
          <w:p w14:paraId="0DDCB6E3">
            <w:pPr>
              <w:pStyle w:val="7"/>
              <w:spacing w:before="189" w:line="214" w:lineRule="auto"/>
              <w:ind w:left="34"/>
            </w:pPr>
            <w:r>
              <w:rPr>
                <w:spacing w:val="-2"/>
              </w:rPr>
              <w:t>商誉（扣除递延税负债）</w:t>
            </w:r>
          </w:p>
        </w:tc>
        <w:tc>
          <w:tcPr>
            <w:tcW w:w="2198" w:type="dxa"/>
            <w:vAlign w:val="top"/>
          </w:tcPr>
          <w:p w14:paraId="59881A55">
            <w:pPr>
              <w:pStyle w:val="7"/>
              <w:spacing w:before="318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37B68FB6">
            <w:pPr>
              <w:pStyle w:val="7"/>
              <w:spacing w:before="286" w:line="224" w:lineRule="exact"/>
              <w:ind w:left="532"/>
            </w:pPr>
            <w:r>
              <w:rPr>
                <w:spacing w:val="-5"/>
                <w:position w:val="-1"/>
              </w:rPr>
              <w:t>a-c</w:t>
            </w:r>
          </w:p>
        </w:tc>
      </w:tr>
      <w:tr w14:paraId="6302D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32E5A123">
            <w:pPr>
              <w:spacing w:line="442" w:lineRule="auto"/>
              <w:rPr>
                <w:rFonts w:ascii="Arial"/>
                <w:sz w:val="21"/>
              </w:rPr>
            </w:pPr>
          </w:p>
          <w:p w14:paraId="08F3BBA9">
            <w:pPr>
              <w:pStyle w:val="7"/>
              <w:spacing w:before="91" w:line="188" w:lineRule="auto"/>
              <w:ind w:left="444"/>
            </w:pPr>
            <w:r>
              <w:t>8</w:t>
            </w:r>
          </w:p>
        </w:tc>
        <w:tc>
          <w:tcPr>
            <w:tcW w:w="4659" w:type="dxa"/>
            <w:vAlign w:val="top"/>
          </w:tcPr>
          <w:p w14:paraId="4D02B3B9">
            <w:pPr>
              <w:pStyle w:val="7"/>
              <w:spacing w:before="189" w:line="352" w:lineRule="auto"/>
              <w:ind w:left="39" w:right="8" w:hanging="18"/>
            </w:pPr>
            <w:r>
              <w:rPr>
                <w:spacing w:val="1"/>
              </w:rPr>
              <w:t>其他无形资产（土地使用权除外</w:t>
            </w:r>
            <w:r>
              <w:rPr>
                <w:spacing w:val="-77"/>
              </w:rPr>
              <w:t>）（</w:t>
            </w:r>
            <w:r>
              <w:rPr>
                <w:spacing w:val="1"/>
              </w:rPr>
              <w:t xml:space="preserve">扣 </w:t>
            </w:r>
            <w:r>
              <w:rPr>
                <w:spacing w:val="-5"/>
              </w:rPr>
              <w:t>除递延税负债）</w:t>
            </w:r>
          </w:p>
        </w:tc>
        <w:tc>
          <w:tcPr>
            <w:tcW w:w="2198" w:type="dxa"/>
            <w:vAlign w:val="center"/>
          </w:tcPr>
          <w:p w14:paraId="73D2A0B1">
            <w:pPr>
              <w:pStyle w:val="7"/>
              <w:spacing w:before="91" w:line="369" w:lineRule="exact"/>
              <w:ind w:left="531"/>
              <w:jc w:val="center"/>
              <w:rPr>
                <w:rFonts w:hint="default" w:eastAsia="FangSong_GB2312"/>
                <w:spacing w:val="-5"/>
                <w:position w:val="1"/>
                <w:lang w:val="en-US" w:eastAsia="zh-CN"/>
              </w:rPr>
            </w:pPr>
            <w:r>
              <w:rPr>
                <w:rFonts w:hint="eastAsia"/>
                <w:spacing w:val="-5"/>
                <w:position w:val="1"/>
                <w:lang w:val="en-US" w:eastAsia="zh-CN"/>
              </w:rPr>
              <w:t>15,642.93</w:t>
            </w:r>
          </w:p>
        </w:tc>
        <w:tc>
          <w:tcPr>
            <w:tcW w:w="1461" w:type="dxa"/>
            <w:vAlign w:val="center"/>
          </w:tcPr>
          <w:p w14:paraId="19F4B5C7">
            <w:pPr>
              <w:pStyle w:val="7"/>
              <w:spacing w:before="91" w:line="369" w:lineRule="exact"/>
              <w:ind w:left="531"/>
              <w:jc w:val="both"/>
              <w:rPr>
                <w:rFonts w:hint="eastAsia"/>
                <w:spacing w:val="-5"/>
                <w:position w:val="1"/>
              </w:rPr>
            </w:pPr>
            <w:r>
              <w:rPr>
                <w:rFonts w:hint="eastAsia"/>
                <w:spacing w:val="-5"/>
                <w:position w:val="1"/>
              </w:rPr>
              <w:t>b-d</w:t>
            </w:r>
          </w:p>
        </w:tc>
      </w:tr>
      <w:tr w14:paraId="526C9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36E89746">
            <w:pPr>
              <w:spacing w:line="445" w:lineRule="auto"/>
              <w:rPr>
                <w:rFonts w:ascii="Arial"/>
                <w:sz w:val="21"/>
              </w:rPr>
            </w:pPr>
          </w:p>
          <w:p w14:paraId="45C3871A">
            <w:pPr>
              <w:pStyle w:val="7"/>
              <w:spacing w:before="91" w:line="188" w:lineRule="auto"/>
              <w:ind w:left="444"/>
            </w:pPr>
            <w:r>
              <w:t>9</w:t>
            </w:r>
          </w:p>
        </w:tc>
        <w:tc>
          <w:tcPr>
            <w:tcW w:w="4659" w:type="dxa"/>
            <w:vAlign w:val="top"/>
          </w:tcPr>
          <w:p w14:paraId="439C35E8">
            <w:pPr>
              <w:pStyle w:val="7"/>
              <w:spacing w:before="189" w:line="352" w:lineRule="auto"/>
              <w:ind w:left="19" w:right="10" w:hanging="2"/>
            </w:pPr>
            <w:r>
              <w:rPr>
                <w:spacing w:val="9"/>
              </w:rPr>
              <w:t>依赖未来盈利的由经营亏损引起的净</w:t>
            </w:r>
            <w:r>
              <w:t xml:space="preserve"> </w:t>
            </w:r>
            <w:r>
              <w:rPr>
                <w:spacing w:val="-2"/>
              </w:rPr>
              <w:t>递延税资产</w:t>
            </w:r>
          </w:p>
        </w:tc>
        <w:tc>
          <w:tcPr>
            <w:tcW w:w="2198" w:type="dxa"/>
            <w:vAlign w:val="top"/>
          </w:tcPr>
          <w:p w14:paraId="4C936201">
            <w:pPr>
              <w:spacing w:line="268" w:lineRule="auto"/>
              <w:rPr>
                <w:rFonts w:ascii="Arial"/>
                <w:sz w:val="21"/>
              </w:rPr>
            </w:pPr>
          </w:p>
          <w:p w14:paraId="2236AF35">
            <w:pPr>
              <w:spacing w:line="269" w:lineRule="auto"/>
              <w:rPr>
                <w:rFonts w:ascii="Arial"/>
                <w:sz w:val="21"/>
              </w:rPr>
            </w:pPr>
          </w:p>
          <w:p w14:paraId="41BD4DA3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2CAB3755">
            <w:pPr>
              <w:rPr>
                <w:rFonts w:ascii="Arial"/>
                <w:sz w:val="21"/>
              </w:rPr>
            </w:pPr>
          </w:p>
        </w:tc>
      </w:tr>
      <w:tr w14:paraId="4AA14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2015EB66">
            <w:pPr>
              <w:spacing w:line="445" w:lineRule="auto"/>
              <w:rPr>
                <w:rFonts w:ascii="Arial"/>
                <w:sz w:val="21"/>
              </w:rPr>
            </w:pPr>
          </w:p>
          <w:p w14:paraId="0F8AD65E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10</w:t>
            </w:r>
          </w:p>
        </w:tc>
        <w:tc>
          <w:tcPr>
            <w:tcW w:w="4659" w:type="dxa"/>
            <w:vAlign w:val="top"/>
          </w:tcPr>
          <w:p w14:paraId="4DF852A9">
            <w:pPr>
              <w:pStyle w:val="7"/>
              <w:spacing w:before="189" w:line="352" w:lineRule="auto"/>
              <w:ind w:left="14" w:right="10" w:firstLine="13"/>
            </w:pPr>
            <w:r>
              <w:rPr>
                <w:spacing w:val="8"/>
              </w:rPr>
              <w:t>对未按公允价值计量的项目进行套期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形成的现金流储备</w:t>
            </w:r>
          </w:p>
        </w:tc>
        <w:tc>
          <w:tcPr>
            <w:tcW w:w="2198" w:type="dxa"/>
            <w:vAlign w:val="top"/>
          </w:tcPr>
          <w:p w14:paraId="1461EF6F">
            <w:pPr>
              <w:spacing w:line="268" w:lineRule="auto"/>
              <w:rPr>
                <w:rFonts w:ascii="Arial"/>
                <w:sz w:val="21"/>
              </w:rPr>
            </w:pPr>
          </w:p>
          <w:p w14:paraId="21A1FEC3">
            <w:pPr>
              <w:spacing w:line="269" w:lineRule="auto"/>
              <w:rPr>
                <w:rFonts w:ascii="Arial"/>
                <w:sz w:val="21"/>
              </w:rPr>
            </w:pPr>
          </w:p>
          <w:p w14:paraId="08007FDB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63FA607C">
            <w:pPr>
              <w:rPr>
                <w:rFonts w:ascii="Arial"/>
                <w:sz w:val="21"/>
              </w:rPr>
            </w:pPr>
          </w:p>
        </w:tc>
      </w:tr>
      <w:tr w14:paraId="07F82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60099311">
            <w:pPr>
              <w:pStyle w:val="7"/>
              <w:spacing w:before="229" w:line="188" w:lineRule="auto"/>
              <w:ind w:left="379"/>
            </w:pPr>
            <w:r>
              <w:rPr>
                <w:spacing w:val="-14"/>
              </w:rPr>
              <w:t>11</w:t>
            </w:r>
          </w:p>
        </w:tc>
        <w:tc>
          <w:tcPr>
            <w:tcW w:w="4659" w:type="dxa"/>
            <w:vAlign w:val="top"/>
          </w:tcPr>
          <w:p w14:paraId="40F9AD8D">
            <w:pPr>
              <w:pStyle w:val="7"/>
              <w:spacing w:before="192" w:line="216" w:lineRule="auto"/>
              <w:ind w:left="21"/>
            </w:pPr>
            <w:r>
              <w:rPr>
                <w:spacing w:val="-2"/>
              </w:rPr>
              <w:t>损失准备缺口</w:t>
            </w:r>
          </w:p>
        </w:tc>
        <w:tc>
          <w:tcPr>
            <w:tcW w:w="2198" w:type="dxa"/>
            <w:vAlign w:val="top"/>
          </w:tcPr>
          <w:p w14:paraId="3A269EB9">
            <w:pPr>
              <w:pStyle w:val="7"/>
              <w:spacing w:before="322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3ACC89A1">
            <w:pPr>
              <w:rPr>
                <w:rFonts w:ascii="Arial"/>
                <w:sz w:val="21"/>
              </w:rPr>
            </w:pPr>
          </w:p>
        </w:tc>
      </w:tr>
      <w:tr w14:paraId="50F61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3562254E">
            <w:pPr>
              <w:pStyle w:val="7"/>
              <w:spacing w:before="228" w:line="188" w:lineRule="auto"/>
              <w:ind w:left="379"/>
            </w:pPr>
            <w:r>
              <w:rPr>
                <w:spacing w:val="-14"/>
              </w:rPr>
              <w:t>12</w:t>
            </w:r>
          </w:p>
        </w:tc>
        <w:tc>
          <w:tcPr>
            <w:tcW w:w="4659" w:type="dxa"/>
            <w:vAlign w:val="top"/>
          </w:tcPr>
          <w:p w14:paraId="62984068">
            <w:pPr>
              <w:pStyle w:val="7"/>
              <w:spacing w:before="192" w:line="214" w:lineRule="auto"/>
              <w:ind w:left="34"/>
            </w:pPr>
            <w:r>
              <w:rPr>
                <w:spacing w:val="-3"/>
              </w:rPr>
              <w:t>资产证券化销售利得</w:t>
            </w:r>
          </w:p>
        </w:tc>
        <w:tc>
          <w:tcPr>
            <w:tcW w:w="2198" w:type="dxa"/>
            <w:vAlign w:val="top"/>
          </w:tcPr>
          <w:p w14:paraId="26C726F3">
            <w:pPr>
              <w:pStyle w:val="7"/>
              <w:spacing w:before="32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167B64DE">
            <w:pPr>
              <w:rPr>
                <w:rFonts w:ascii="Arial"/>
                <w:sz w:val="21"/>
              </w:rPr>
            </w:pPr>
          </w:p>
        </w:tc>
      </w:tr>
      <w:tr w14:paraId="139EE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6AFEA0E">
            <w:pPr>
              <w:spacing w:line="445" w:lineRule="auto"/>
              <w:rPr>
                <w:rFonts w:ascii="Arial"/>
                <w:sz w:val="21"/>
              </w:rPr>
            </w:pPr>
          </w:p>
          <w:p w14:paraId="73CE332C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13</w:t>
            </w:r>
          </w:p>
        </w:tc>
        <w:tc>
          <w:tcPr>
            <w:tcW w:w="4659" w:type="dxa"/>
            <w:vAlign w:val="top"/>
          </w:tcPr>
          <w:p w14:paraId="23320542">
            <w:pPr>
              <w:pStyle w:val="7"/>
              <w:spacing w:before="189" w:line="352" w:lineRule="auto"/>
              <w:ind w:left="21" w:right="10" w:firstLine="50"/>
            </w:pPr>
            <w:r>
              <w:rPr>
                <w:spacing w:val="5"/>
              </w:rPr>
              <w:t>自身信用风险变化导致其负债公允价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值变化带来的未实现损益</w:t>
            </w:r>
          </w:p>
        </w:tc>
        <w:tc>
          <w:tcPr>
            <w:tcW w:w="2198" w:type="dxa"/>
            <w:vAlign w:val="top"/>
          </w:tcPr>
          <w:p w14:paraId="5980D4B9">
            <w:pPr>
              <w:spacing w:line="269" w:lineRule="auto"/>
              <w:rPr>
                <w:rFonts w:ascii="Arial"/>
                <w:sz w:val="21"/>
              </w:rPr>
            </w:pPr>
          </w:p>
          <w:p w14:paraId="3F275EB5">
            <w:pPr>
              <w:spacing w:line="269" w:lineRule="auto"/>
              <w:rPr>
                <w:rFonts w:ascii="Arial"/>
                <w:sz w:val="21"/>
              </w:rPr>
            </w:pPr>
          </w:p>
          <w:p w14:paraId="58F630A2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1135E09B">
            <w:pPr>
              <w:rPr>
                <w:rFonts w:ascii="Arial"/>
                <w:sz w:val="21"/>
              </w:rPr>
            </w:pPr>
          </w:p>
        </w:tc>
      </w:tr>
      <w:tr w14:paraId="23C77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985" w:type="dxa"/>
            <w:vAlign w:val="top"/>
          </w:tcPr>
          <w:p w14:paraId="7964ABBE">
            <w:pPr>
              <w:spacing w:line="447" w:lineRule="auto"/>
              <w:rPr>
                <w:rFonts w:ascii="Arial"/>
                <w:sz w:val="21"/>
              </w:rPr>
            </w:pPr>
          </w:p>
          <w:p w14:paraId="228B047C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14</w:t>
            </w:r>
          </w:p>
        </w:tc>
        <w:tc>
          <w:tcPr>
            <w:tcW w:w="4659" w:type="dxa"/>
            <w:vAlign w:val="top"/>
          </w:tcPr>
          <w:p w14:paraId="57CAC3F3">
            <w:pPr>
              <w:pStyle w:val="7"/>
              <w:spacing w:before="193" w:line="351" w:lineRule="auto"/>
              <w:ind w:left="28" w:right="10" w:hanging="5"/>
            </w:pPr>
            <w:r>
              <w:rPr>
                <w:spacing w:val="-9"/>
              </w:rPr>
              <w:t>确定受益类的养老金资产净额（扣除递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延税负债）</w:t>
            </w:r>
          </w:p>
        </w:tc>
        <w:tc>
          <w:tcPr>
            <w:tcW w:w="2198" w:type="dxa"/>
            <w:vAlign w:val="top"/>
          </w:tcPr>
          <w:p w14:paraId="42CC4B54">
            <w:pPr>
              <w:spacing w:line="270" w:lineRule="auto"/>
              <w:rPr>
                <w:rFonts w:ascii="Arial"/>
                <w:sz w:val="21"/>
              </w:rPr>
            </w:pPr>
          </w:p>
          <w:p w14:paraId="3FAD0310">
            <w:pPr>
              <w:spacing w:line="270" w:lineRule="auto"/>
              <w:rPr>
                <w:rFonts w:ascii="Arial"/>
                <w:sz w:val="21"/>
              </w:rPr>
            </w:pPr>
          </w:p>
          <w:p w14:paraId="55777E46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115DC6F5">
            <w:pPr>
              <w:rPr>
                <w:rFonts w:ascii="Arial"/>
                <w:sz w:val="21"/>
              </w:rPr>
            </w:pPr>
          </w:p>
        </w:tc>
      </w:tr>
      <w:tr w14:paraId="6377E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5471F911">
            <w:pPr>
              <w:pStyle w:val="7"/>
              <w:spacing w:before="228" w:line="188" w:lineRule="auto"/>
              <w:ind w:left="379"/>
            </w:pPr>
            <w:r>
              <w:rPr>
                <w:spacing w:val="-14"/>
              </w:rPr>
              <w:t>15</w:t>
            </w:r>
          </w:p>
        </w:tc>
        <w:tc>
          <w:tcPr>
            <w:tcW w:w="4659" w:type="dxa"/>
            <w:vAlign w:val="top"/>
          </w:tcPr>
          <w:p w14:paraId="53EE2B26">
            <w:pPr>
              <w:pStyle w:val="7"/>
              <w:spacing w:before="191" w:line="216" w:lineRule="auto"/>
              <w:ind w:left="32"/>
            </w:pPr>
            <w:r>
              <w:rPr>
                <w:spacing w:val="-2"/>
              </w:rPr>
              <w:t>直接或间接持有本银行的股票</w:t>
            </w:r>
          </w:p>
        </w:tc>
        <w:tc>
          <w:tcPr>
            <w:tcW w:w="2198" w:type="dxa"/>
            <w:vAlign w:val="top"/>
          </w:tcPr>
          <w:p w14:paraId="032874B2">
            <w:pPr>
              <w:pStyle w:val="7"/>
              <w:spacing w:before="32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566AD83B">
            <w:pPr>
              <w:rPr>
                <w:rFonts w:ascii="Arial"/>
                <w:sz w:val="21"/>
              </w:rPr>
            </w:pPr>
          </w:p>
        </w:tc>
      </w:tr>
      <w:tr w14:paraId="6C1E1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985" w:type="dxa"/>
            <w:vAlign w:val="top"/>
          </w:tcPr>
          <w:p w14:paraId="48C13A18">
            <w:pPr>
              <w:spacing w:line="448" w:lineRule="auto"/>
              <w:rPr>
                <w:rFonts w:ascii="Arial"/>
                <w:sz w:val="21"/>
              </w:rPr>
            </w:pPr>
          </w:p>
          <w:p w14:paraId="1DE044C3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16</w:t>
            </w:r>
          </w:p>
        </w:tc>
        <w:tc>
          <w:tcPr>
            <w:tcW w:w="4659" w:type="dxa"/>
            <w:vAlign w:val="top"/>
          </w:tcPr>
          <w:p w14:paraId="49403609">
            <w:pPr>
              <w:pStyle w:val="7"/>
              <w:spacing w:before="193" w:line="351" w:lineRule="auto"/>
              <w:ind w:left="24" w:right="10" w:hanging="5"/>
            </w:pPr>
            <w:r>
              <w:rPr>
                <w:spacing w:val="8"/>
              </w:rPr>
              <w:t>银行间或银行与其他金融机构间通过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协议相互持有的核心一级资本</w:t>
            </w:r>
          </w:p>
        </w:tc>
        <w:tc>
          <w:tcPr>
            <w:tcW w:w="2198" w:type="dxa"/>
            <w:vAlign w:val="top"/>
          </w:tcPr>
          <w:p w14:paraId="44A67AD2">
            <w:pPr>
              <w:spacing w:line="270" w:lineRule="auto"/>
              <w:rPr>
                <w:rFonts w:ascii="Arial"/>
                <w:sz w:val="21"/>
              </w:rPr>
            </w:pPr>
          </w:p>
          <w:p w14:paraId="423748FC">
            <w:pPr>
              <w:spacing w:line="271" w:lineRule="auto"/>
              <w:rPr>
                <w:rFonts w:ascii="Arial"/>
                <w:sz w:val="21"/>
              </w:rPr>
            </w:pPr>
          </w:p>
          <w:p w14:paraId="161A4B58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0BA4406B">
            <w:pPr>
              <w:rPr>
                <w:rFonts w:ascii="Arial"/>
                <w:sz w:val="21"/>
              </w:rPr>
            </w:pPr>
          </w:p>
        </w:tc>
      </w:tr>
      <w:tr w14:paraId="0DFF8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4E47403D">
            <w:pPr>
              <w:spacing w:line="447" w:lineRule="auto"/>
              <w:rPr>
                <w:rFonts w:ascii="Arial"/>
                <w:sz w:val="21"/>
              </w:rPr>
            </w:pPr>
          </w:p>
          <w:p w14:paraId="6C1A5743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17</w:t>
            </w:r>
          </w:p>
        </w:tc>
        <w:tc>
          <w:tcPr>
            <w:tcW w:w="4659" w:type="dxa"/>
            <w:vAlign w:val="top"/>
          </w:tcPr>
          <w:p w14:paraId="51AE1B86">
            <w:pPr>
              <w:pStyle w:val="7"/>
              <w:spacing w:before="192" w:line="351" w:lineRule="auto"/>
              <w:ind w:left="54" w:right="10" w:hanging="27"/>
            </w:pPr>
            <w:r>
              <w:rPr>
                <w:spacing w:val="8"/>
              </w:rPr>
              <w:t>对未并表金融机构小额少数资本投资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中的核心一级资本中应扣除金额</w:t>
            </w:r>
          </w:p>
        </w:tc>
        <w:tc>
          <w:tcPr>
            <w:tcW w:w="2198" w:type="dxa"/>
            <w:vAlign w:val="top"/>
          </w:tcPr>
          <w:p w14:paraId="30F811B5">
            <w:pPr>
              <w:spacing w:line="447" w:lineRule="auto"/>
              <w:rPr>
                <w:rFonts w:ascii="Arial"/>
                <w:sz w:val="21"/>
              </w:rPr>
            </w:pPr>
          </w:p>
          <w:p w14:paraId="6FBA4DDC">
            <w:pPr>
              <w:pStyle w:val="7"/>
              <w:spacing w:before="91" w:line="188" w:lineRule="auto"/>
              <w:ind w:right="8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  <w:p w14:paraId="17DE4E4B">
            <w:pPr>
              <w:pStyle w:val="7"/>
              <w:spacing w:before="91" w:line="188" w:lineRule="auto"/>
              <w:ind w:right="8"/>
              <w:jc w:val="right"/>
              <w:rPr>
                <w:rFonts w:hint="default"/>
                <w:lang w:val="en-US" w:eastAsia="zh-CN"/>
              </w:rPr>
            </w:pPr>
          </w:p>
        </w:tc>
        <w:tc>
          <w:tcPr>
            <w:tcW w:w="1461" w:type="dxa"/>
            <w:vAlign w:val="top"/>
          </w:tcPr>
          <w:p w14:paraId="7A11ECA2">
            <w:pPr>
              <w:rPr>
                <w:rFonts w:ascii="Arial"/>
                <w:sz w:val="21"/>
              </w:rPr>
            </w:pPr>
          </w:p>
        </w:tc>
      </w:tr>
      <w:tr w14:paraId="6EE61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985" w:type="dxa"/>
            <w:vAlign w:val="top"/>
          </w:tcPr>
          <w:p w14:paraId="0C9F6DC7">
            <w:pPr>
              <w:spacing w:line="447" w:lineRule="auto"/>
              <w:rPr>
                <w:rFonts w:ascii="Arial"/>
                <w:sz w:val="21"/>
              </w:rPr>
            </w:pPr>
          </w:p>
          <w:p w14:paraId="3A300CC2">
            <w:pPr>
              <w:pStyle w:val="7"/>
              <w:spacing w:before="91" w:line="188" w:lineRule="auto"/>
              <w:ind w:left="379"/>
            </w:pPr>
            <w:r>
              <w:rPr>
                <w:spacing w:val="-14"/>
              </w:rPr>
              <w:t>18</w:t>
            </w:r>
          </w:p>
        </w:tc>
        <w:tc>
          <w:tcPr>
            <w:tcW w:w="4659" w:type="dxa"/>
            <w:vAlign w:val="top"/>
          </w:tcPr>
          <w:p w14:paraId="50F80E45">
            <w:pPr>
              <w:pStyle w:val="7"/>
              <w:spacing w:before="192" w:line="352" w:lineRule="auto"/>
              <w:ind w:left="54" w:right="10" w:hanging="27"/>
            </w:pPr>
            <w:r>
              <w:rPr>
                <w:spacing w:val="8"/>
              </w:rPr>
              <w:t>对未并表金融机构大额少数资本投资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中的核心一级资本中应扣除金额</w:t>
            </w:r>
          </w:p>
        </w:tc>
        <w:tc>
          <w:tcPr>
            <w:tcW w:w="2198" w:type="dxa"/>
            <w:vAlign w:val="top"/>
          </w:tcPr>
          <w:p w14:paraId="3061AE1F">
            <w:pPr>
              <w:spacing w:line="270" w:lineRule="auto"/>
              <w:rPr>
                <w:rFonts w:ascii="Arial"/>
                <w:sz w:val="21"/>
              </w:rPr>
            </w:pPr>
          </w:p>
          <w:p w14:paraId="725F1667">
            <w:pPr>
              <w:spacing w:line="270" w:lineRule="auto"/>
              <w:rPr>
                <w:rFonts w:ascii="Arial"/>
                <w:sz w:val="21"/>
              </w:rPr>
            </w:pPr>
          </w:p>
          <w:p w14:paraId="1F080115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33337952">
            <w:pPr>
              <w:rPr>
                <w:rFonts w:ascii="Arial"/>
                <w:sz w:val="21"/>
              </w:rPr>
            </w:pPr>
          </w:p>
        </w:tc>
      </w:tr>
    </w:tbl>
    <w:p w14:paraId="657DEF5B">
      <w:pPr>
        <w:rPr>
          <w:rFonts w:ascii="Arial"/>
          <w:sz w:val="21"/>
        </w:rPr>
      </w:pPr>
    </w:p>
    <w:p w14:paraId="4FD2A54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99" w:bottom="0" w:left="1298" w:header="0" w:footer="0" w:gutter="0"/>
          <w:cols w:space="720" w:num="1"/>
        </w:sectPr>
      </w:pPr>
    </w:p>
    <w:p w14:paraId="70A6C863">
      <w:pPr>
        <w:spacing w:line="91" w:lineRule="auto"/>
        <w:rPr>
          <w:rFonts w:ascii="Arial"/>
          <w:sz w:val="2"/>
        </w:rPr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2926D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985" w:type="dxa"/>
            <w:vAlign w:val="top"/>
          </w:tcPr>
          <w:p w14:paraId="76FE847C">
            <w:pPr>
              <w:pStyle w:val="7"/>
              <w:spacing w:before="229" w:line="188" w:lineRule="auto"/>
              <w:ind w:left="379"/>
            </w:pPr>
            <w:r>
              <w:rPr>
                <w:spacing w:val="-14"/>
              </w:rPr>
              <w:t>19</w:t>
            </w:r>
          </w:p>
        </w:tc>
        <w:tc>
          <w:tcPr>
            <w:tcW w:w="4659" w:type="dxa"/>
            <w:vAlign w:val="top"/>
          </w:tcPr>
          <w:p w14:paraId="4E5DBCFD">
            <w:pPr>
              <w:pStyle w:val="7"/>
              <w:spacing w:before="191" w:line="353" w:lineRule="auto"/>
              <w:ind w:left="33" w:right="10" w:hanging="12"/>
            </w:pPr>
            <w:r>
              <w:rPr>
                <w:spacing w:val="8"/>
              </w:rPr>
              <w:t>其他依赖于银行未来盈利的净递延税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资产中应扣除金额</w:t>
            </w:r>
          </w:p>
        </w:tc>
        <w:tc>
          <w:tcPr>
            <w:tcW w:w="2198" w:type="dxa"/>
            <w:vAlign w:val="top"/>
          </w:tcPr>
          <w:p w14:paraId="2EE87390">
            <w:pPr>
              <w:spacing w:line="270" w:lineRule="auto"/>
              <w:rPr>
                <w:rFonts w:ascii="Arial"/>
                <w:sz w:val="21"/>
              </w:rPr>
            </w:pPr>
          </w:p>
          <w:p w14:paraId="66757CF0">
            <w:pPr>
              <w:spacing w:line="270" w:lineRule="auto"/>
              <w:rPr>
                <w:rFonts w:ascii="Arial"/>
                <w:sz w:val="21"/>
              </w:rPr>
            </w:pPr>
          </w:p>
          <w:p w14:paraId="43C12EC3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0D5BBBC2">
            <w:pPr>
              <w:rPr>
                <w:rFonts w:ascii="Arial"/>
                <w:sz w:val="21"/>
              </w:rPr>
            </w:pPr>
          </w:p>
        </w:tc>
      </w:tr>
      <w:tr w14:paraId="5B57B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9" w:hRule="atLeast"/>
        </w:trPr>
        <w:tc>
          <w:tcPr>
            <w:tcW w:w="985" w:type="dxa"/>
            <w:vAlign w:val="top"/>
          </w:tcPr>
          <w:p w14:paraId="21A10636">
            <w:pPr>
              <w:pStyle w:val="7"/>
              <w:spacing w:before="226" w:line="188" w:lineRule="auto"/>
              <w:ind w:left="372"/>
            </w:pPr>
            <w:r>
              <w:rPr>
                <w:spacing w:val="-10"/>
              </w:rPr>
              <w:t>20</w:t>
            </w:r>
          </w:p>
        </w:tc>
        <w:tc>
          <w:tcPr>
            <w:tcW w:w="4659" w:type="dxa"/>
            <w:vAlign w:val="top"/>
          </w:tcPr>
          <w:p w14:paraId="6A5BF0FA">
            <w:pPr>
              <w:pStyle w:val="7"/>
              <w:spacing w:before="186" w:line="388" w:lineRule="auto"/>
              <w:ind w:left="21" w:right="10" w:firstLine="5"/>
              <w:jc w:val="both"/>
            </w:pPr>
            <w:r>
              <w:rPr>
                <w:spacing w:val="8"/>
              </w:rPr>
              <w:t>对未并表金融机构大额少数资本投资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中的核心一级资本和其他依赖于银行</w:t>
            </w:r>
            <w:r>
              <w:rPr>
                <w:spacing w:val="12"/>
              </w:rPr>
              <w:t xml:space="preserve"> </w:t>
            </w:r>
            <w:r>
              <w:rPr>
                <w:spacing w:val="8"/>
              </w:rPr>
              <w:t>未来盈利的净递延税资产的未扣除部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分超过核心一级资本</w:t>
            </w:r>
            <w:r>
              <w:rPr>
                <w:spacing w:val="-13"/>
              </w:rPr>
              <w:t xml:space="preserve"> </w:t>
            </w:r>
            <w:r>
              <w:rPr>
                <w:spacing w:val="9"/>
              </w:rPr>
              <w:t>15%的应扣除金</w:t>
            </w:r>
            <w:r>
              <w:t xml:space="preserve"> 额</w:t>
            </w:r>
          </w:p>
        </w:tc>
        <w:tc>
          <w:tcPr>
            <w:tcW w:w="2198" w:type="dxa"/>
            <w:vAlign w:val="top"/>
          </w:tcPr>
          <w:p w14:paraId="55B54081">
            <w:pPr>
              <w:spacing w:line="244" w:lineRule="auto"/>
              <w:rPr>
                <w:rFonts w:ascii="Arial"/>
                <w:sz w:val="21"/>
              </w:rPr>
            </w:pPr>
          </w:p>
          <w:p w14:paraId="566F4CD2">
            <w:pPr>
              <w:spacing w:line="244" w:lineRule="auto"/>
              <w:rPr>
                <w:rFonts w:ascii="Arial"/>
                <w:sz w:val="21"/>
              </w:rPr>
            </w:pPr>
          </w:p>
          <w:p w14:paraId="0C898B95">
            <w:pPr>
              <w:spacing w:line="244" w:lineRule="auto"/>
              <w:rPr>
                <w:rFonts w:ascii="Arial"/>
                <w:sz w:val="21"/>
              </w:rPr>
            </w:pPr>
          </w:p>
          <w:p w14:paraId="59BD3BC2">
            <w:pPr>
              <w:spacing w:line="245" w:lineRule="auto"/>
              <w:rPr>
                <w:rFonts w:ascii="Arial"/>
                <w:sz w:val="21"/>
              </w:rPr>
            </w:pPr>
          </w:p>
          <w:p w14:paraId="1E75CF89">
            <w:pPr>
              <w:spacing w:line="245" w:lineRule="auto"/>
              <w:rPr>
                <w:rFonts w:ascii="Arial"/>
                <w:sz w:val="21"/>
              </w:rPr>
            </w:pPr>
          </w:p>
          <w:p w14:paraId="74794C93">
            <w:pPr>
              <w:spacing w:line="245" w:lineRule="auto"/>
              <w:rPr>
                <w:rFonts w:ascii="Arial"/>
                <w:sz w:val="21"/>
              </w:rPr>
            </w:pPr>
          </w:p>
          <w:p w14:paraId="6867DB87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71380698">
            <w:pPr>
              <w:rPr>
                <w:rFonts w:ascii="Arial"/>
                <w:sz w:val="21"/>
              </w:rPr>
            </w:pPr>
          </w:p>
        </w:tc>
      </w:tr>
      <w:tr w14:paraId="5D64B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2F80CB2B">
            <w:pPr>
              <w:pStyle w:val="7"/>
              <w:spacing w:before="226" w:line="188" w:lineRule="auto"/>
              <w:ind w:left="372"/>
            </w:pPr>
            <w:r>
              <w:rPr>
                <w:spacing w:val="-10"/>
              </w:rPr>
              <w:t>21</w:t>
            </w:r>
          </w:p>
        </w:tc>
        <w:tc>
          <w:tcPr>
            <w:tcW w:w="4659" w:type="dxa"/>
            <w:vAlign w:val="top"/>
          </w:tcPr>
          <w:p w14:paraId="559D0E94">
            <w:pPr>
              <w:pStyle w:val="7"/>
              <w:spacing w:before="189" w:line="352" w:lineRule="auto"/>
              <w:ind w:left="21" w:right="10" w:firstLine="559"/>
            </w:pPr>
            <w:r>
              <w:rPr>
                <w:spacing w:val="-10"/>
              </w:rPr>
              <w:t>其中：应在对金融机构大额少数资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本投资中扣除的金额</w:t>
            </w:r>
          </w:p>
        </w:tc>
        <w:tc>
          <w:tcPr>
            <w:tcW w:w="2198" w:type="dxa"/>
            <w:vAlign w:val="top"/>
          </w:tcPr>
          <w:p w14:paraId="3354618F">
            <w:pPr>
              <w:spacing w:line="268" w:lineRule="auto"/>
              <w:rPr>
                <w:rFonts w:ascii="Arial"/>
                <w:sz w:val="21"/>
              </w:rPr>
            </w:pPr>
          </w:p>
          <w:p w14:paraId="3C8CAE2A">
            <w:pPr>
              <w:spacing w:line="269" w:lineRule="auto"/>
              <w:rPr>
                <w:rFonts w:ascii="Arial"/>
                <w:sz w:val="21"/>
              </w:rPr>
            </w:pPr>
          </w:p>
          <w:p w14:paraId="07640AA9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76DE40CF">
            <w:pPr>
              <w:rPr>
                <w:rFonts w:ascii="Arial"/>
                <w:sz w:val="21"/>
              </w:rPr>
            </w:pPr>
          </w:p>
        </w:tc>
      </w:tr>
      <w:tr w14:paraId="5A062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546969B8">
            <w:pPr>
              <w:pStyle w:val="7"/>
              <w:spacing w:before="228" w:line="188" w:lineRule="auto"/>
              <w:ind w:left="372"/>
            </w:pPr>
            <w:r>
              <w:rPr>
                <w:spacing w:val="-10"/>
              </w:rPr>
              <w:t>22</w:t>
            </w:r>
          </w:p>
        </w:tc>
        <w:tc>
          <w:tcPr>
            <w:tcW w:w="4659" w:type="dxa"/>
            <w:vAlign w:val="top"/>
          </w:tcPr>
          <w:p w14:paraId="372812B7">
            <w:pPr>
              <w:pStyle w:val="7"/>
              <w:spacing w:before="192" w:line="351" w:lineRule="auto"/>
              <w:ind w:left="18" w:right="10" w:firstLine="562"/>
            </w:pPr>
            <w:r>
              <w:rPr>
                <w:spacing w:val="-10"/>
              </w:rPr>
              <w:t>其中：应在其他依赖于银行未来盈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利的净递延税资产中扣除的金额</w:t>
            </w:r>
          </w:p>
        </w:tc>
        <w:tc>
          <w:tcPr>
            <w:tcW w:w="2198" w:type="dxa"/>
            <w:vAlign w:val="top"/>
          </w:tcPr>
          <w:p w14:paraId="5EF1813B">
            <w:pPr>
              <w:spacing w:line="269" w:lineRule="auto"/>
              <w:rPr>
                <w:rFonts w:ascii="Arial"/>
                <w:sz w:val="21"/>
              </w:rPr>
            </w:pPr>
          </w:p>
          <w:p w14:paraId="1CA65A7E">
            <w:pPr>
              <w:spacing w:line="270" w:lineRule="auto"/>
              <w:rPr>
                <w:rFonts w:ascii="Arial"/>
                <w:sz w:val="21"/>
              </w:rPr>
            </w:pPr>
          </w:p>
          <w:p w14:paraId="73072075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4B24BE7E">
            <w:pPr>
              <w:rPr>
                <w:rFonts w:ascii="Arial"/>
                <w:sz w:val="21"/>
              </w:rPr>
            </w:pPr>
          </w:p>
        </w:tc>
      </w:tr>
      <w:tr w14:paraId="10C4E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4F115E48">
            <w:pPr>
              <w:pStyle w:val="7"/>
              <w:spacing w:before="228" w:line="188" w:lineRule="auto"/>
              <w:ind w:left="372"/>
            </w:pPr>
            <w:r>
              <w:rPr>
                <w:spacing w:val="-10"/>
              </w:rPr>
              <w:t>23</w:t>
            </w:r>
          </w:p>
        </w:tc>
        <w:tc>
          <w:tcPr>
            <w:tcW w:w="4659" w:type="dxa"/>
            <w:vAlign w:val="top"/>
          </w:tcPr>
          <w:p w14:paraId="1FC5ED37">
            <w:pPr>
              <w:pStyle w:val="7"/>
              <w:spacing w:before="192" w:line="351" w:lineRule="auto"/>
              <w:ind w:left="24" w:right="10" w:hanging="3"/>
            </w:pPr>
            <w:r>
              <w:rPr>
                <w:spacing w:val="8"/>
              </w:rPr>
              <w:t>其他应在核心一级资本中扣除的项目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合计</w:t>
            </w:r>
          </w:p>
        </w:tc>
        <w:tc>
          <w:tcPr>
            <w:tcW w:w="2198" w:type="dxa"/>
            <w:vAlign w:val="top"/>
          </w:tcPr>
          <w:p w14:paraId="0C250C61">
            <w:pPr>
              <w:spacing w:line="446" w:lineRule="auto"/>
              <w:rPr>
                <w:rFonts w:ascii="Arial"/>
                <w:sz w:val="21"/>
              </w:rPr>
            </w:pPr>
          </w:p>
          <w:p w14:paraId="209A9375">
            <w:pPr>
              <w:pStyle w:val="7"/>
              <w:spacing w:before="91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6EC7F2F2">
            <w:pPr>
              <w:rPr>
                <w:rFonts w:ascii="Arial"/>
                <w:sz w:val="21"/>
              </w:rPr>
            </w:pPr>
          </w:p>
        </w:tc>
      </w:tr>
      <w:tr w14:paraId="5E039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6BE35876">
            <w:pPr>
              <w:pStyle w:val="7"/>
              <w:spacing w:before="231" w:line="188" w:lineRule="auto"/>
              <w:ind w:left="372"/>
            </w:pPr>
            <w:r>
              <w:rPr>
                <w:spacing w:val="-10"/>
              </w:rPr>
              <w:t>24</w:t>
            </w:r>
          </w:p>
        </w:tc>
        <w:tc>
          <w:tcPr>
            <w:tcW w:w="4659" w:type="dxa"/>
            <w:vAlign w:val="top"/>
          </w:tcPr>
          <w:p w14:paraId="37BFED70">
            <w:pPr>
              <w:pStyle w:val="7"/>
              <w:spacing w:before="195" w:line="350" w:lineRule="auto"/>
              <w:ind w:left="45" w:right="10" w:hanging="17"/>
            </w:pPr>
            <w:r>
              <w:rPr>
                <w:spacing w:val="8"/>
              </w:rPr>
              <w:t>应从其他一级资本和二级资本中扣除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的未扣缺口</w:t>
            </w:r>
          </w:p>
        </w:tc>
        <w:tc>
          <w:tcPr>
            <w:tcW w:w="2198" w:type="dxa"/>
            <w:vAlign w:val="top"/>
          </w:tcPr>
          <w:p w14:paraId="2B533307">
            <w:pPr>
              <w:spacing w:line="271" w:lineRule="auto"/>
              <w:rPr>
                <w:rFonts w:ascii="Arial"/>
                <w:sz w:val="21"/>
              </w:rPr>
            </w:pPr>
          </w:p>
          <w:p w14:paraId="6A1BEE4B">
            <w:pPr>
              <w:spacing w:line="271" w:lineRule="auto"/>
              <w:rPr>
                <w:rFonts w:ascii="Arial"/>
                <w:sz w:val="21"/>
              </w:rPr>
            </w:pPr>
          </w:p>
          <w:p w14:paraId="2B87B878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67291B5F">
            <w:pPr>
              <w:rPr>
                <w:rFonts w:ascii="Arial"/>
                <w:sz w:val="21"/>
              </w:rPr>
            </w:pPr>
          </w:p>
        </w:tc>
      </w:tr>
      <w:tr w14:paraId="6B4E14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6F809E80">
            <w:pPr>
              <w:pStyle w:val="7"/>
              <w:spacing w:before="231" w:line="188" w:lineRule="auto"/>
              <w:ind w:left="372"/>
            </w:pPr>
            <w:r>
              <w:rPr>
                <w:spacing w:val="-10"/>
              </w:rPr>
              <w:t>25</w:t>
            </w:r>
          </w:p>
        </w:tc>
        <w:tc>
          <w:tcPr>
            <w:tcW w:w="4659" w:type="dxa"/>
            <w:vAlign w:val="top"/>
          </w:tcPr>
          <w:p w14:paraId="5CD22588">
            <w:pPr>
              <w:pStyle w:val="7"/>
              <w:spacing w:before="194" w:line="215" w:lineRule="auto"/>
              <w:ind w:left="20"/>
            </w:pPr>
            <w:r>
              <w:rPr>
                <w:b/>
                <w:bCs/>
                <w:spacing w:val="-3"/>
              </w:rPr>
              <w:t>核心一级资本扣除项总和</w:t>
            </w:r>
          </w:p>
        </w:tc>
        <w:tc>
          <w:tcPr>
            <w:tcW w:w="2198" w:type="dxa"/>
            <w:vAlign w:val="top"/>
          </w:tcPr>
          <w:p w14:paraId="2B10ACE7">
            <w:pPr>
              <w:pStyle w:val="7"/>
              <w:spacing w:before="23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5"/>
                <w:position w:val="1"/>
                <w:lang w:val="en-US" w:eastAsia="zh-CN"/>
              </w:rPr>
              <w:t>15,642.93</w:t>
            </w:r>
          </w:p>
        </w:tc>
        <w:tc>
          <w:tcPr>
            <w:tcW w:w="1461" w:type="dxa"/>
            <w:vAlign w:val="top"/>
          </w:tcPr>
          <w:p w14:paraId="300D6256">
            <w:pPr>
              <w:rPr>
                <w:rFonts w:ascii="Arial"/>
                <w:sz w:val="21"/>
              </w:rPr>
            </w:pPr>
          </w:p>
        </w:tc>
      </w:tr>
      <w:tr w14:paraId="32C72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21B5F399">
            <w:pPr>
              <w:pStyle w:val="7"/>
              <w:spacing w:before="230" w:line="188" w:lineRule="auto"/>
              <w:ind w:left="372"/>
            </w:pPr>
            <w:r>
              <w:rPr>
                <w:spacing w:val="-10"/>
              </w:rPr>
              <w:t>26</w:t>
            </w:r>
          </w:p>
        </w:tc>
        <w:tc>
          <w:tcPr>
            <w:tcW w:w="4659" w:type="dxa"/>
            <w:vAlign w:val="top"/>
          </w:tcPr>
          <w:p w14:paraId="4BC4F435">
            <w:pPr>
              <w:pStyle w:val="7"/>
              <w:spacing w:before="194" w:line="214" w:lineRule="auto"/>
              <w:ind w:left="20"/>
            </w:pPr>
            <w:r>
              <w:rPr>
                <w:b/>
                <w:bCs/>
                <w:spacing w:val="-4"/>
              </w:rPr>
              <w:t>核心一级资本净额</w:t>
            </w:r>
          </w:p>
        </w:tc>
        <w:tc>
          <w:tcPr>
            <w:tcW w:w="2198" w:type="dxa"/>
            <w:vAlign w:val="top"/>
          </w:tcPr>
          <w:p w14:paraId="05254366">
            <w:pPr>
              <w:pStyle w:val="7"/>
              <w:spacing w:before="230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default" w:eastAsia="FangSong_GB2312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default" w:eastAsia="FangSong_GB2312"/>
                <w:lang w:val="en-US" w:eastAsia="zh-CN"/>
              </w:rPr>
              <w:t>673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default" w:eastAsia="FangSong_GB2312"/>
                <w:lang w:val="en-US" w:eastAsia="zh-CN"/>
              </w:rPr>
              <w:t>063.56</w:t>
            </w:r>
          </w:p>
        </w:tc>
        <w:tc>
          <w:tcPr>
            <w:tcW w:w="1461" w:type="dxa"/>
            <w:vAlign w:val="top"/>
          </w:tcPr>
          <w:p w14:paraId="5913CE25">
            <w:pPr>
              <w:rPr>
                <w:rFonts w:ascii="Arial"/>
                <w:sz w:val="21"/>
              </w:rPr>
            </w:pPr>
          </w:p>
        </w:tc>
      </w:tr>
      <w:tr w14:paraId="31A93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01033126">
            <w:pPr>
              <w:pStyle w:val="7"/>
              <w:spacing w:before="195" w:line="215" w:lineRule="auto"/>
              <w:ind w:left="25"/>
            </w:pPr>
            <w:r>
              <w:rPr>
                <w:b/>
                <w:bCs/>
                <w:spacing w:val="-4"/>
              </w:rPr>
              <w:t>其他一级资本</w:t>
            </w:r>
          </w:p>
        </w:tc>
      </w:tr>
      <w:tr w14:paraId="2E4EE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1E7EA38">
            <w:pPr>
              <w:pStyle w:val="7"/>
              <w:spacing w:before="230" w:line="188" w:lineRule="auto"/>
              <w:ind w:left="372"/>
            </w:pPr>
            <w:r>
              <w:rPr>
                <w:spacing w:val="-10"/>
              </w:rPr>
              <w:t>27</w:t>
            </w:r>
          </w:p>
        </w:tc>
        <w:tc>
          <w:tcPr>
            <w:tcW w:w="4659" w:type="dxa"/>
            <w:vAlign w:val="top"/>
          </w:tcPr>
          <w:p w14:paraId="769529ED">
            <w:pPr>
              <w:pStyle w:val="7"/>
              <w:spacing w:before="194" w:line="215" w:lineRule="auto"/>
              <w:ind w:left="21"/>
            </w:pPr>
            <w:r>
              <w:rPr>
                <w:spacing w:val="-1"/>
              </w:rPr>
              <w:t>其他一级资本工具及其溢价</w:t>
            </w:r>
          </w:p>
        </w:tc>
        <w:tc>
          <w:tcPr>
            <w:tcW w:w="2198" w:type="dxa"/>
            <w:vAlign w:val="top"/>
          </w:tcPr>
          <w:p w14:paraId="1E94BCB7">
            <w:pPr>
              <w:pStyle w:val="7"/>
              <w:spacing w:before="231" w:line="188" w:lineRule="auto"/>
              <w:ind w:right="8" w:rightChars="0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299,983.21</w:t>
            </w:r>
          </w:p>
        </w:tc>
        <w:tc>
          <w:tcPr>
            <w:tcW w:w="1461" w:type="dxa"/>
            <w:vAlign w:val="top"/>
          </w:tcPr>
          <w:p w14:paraId="5405D08D">
            <w:pPr>
              <w:rPr>
                <w:rFonts w:ascii="Arial"/>
                <w:sz w:val="21"/>
              </w:rPr>
            </w:pPr>
          </w:p>
        </w:tc>
      </w:tr>
      <w:tr w14:paraId="0D47A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E44F902">
            <w:pPr>
              <w:pStyle w:val="7"/>
              <w:spacing w:before="232" w:line="188" w:lineRule="auto"/>
              <w:ind w:left="372"/>
            </w:pPr>
            <w:r>
              <w:rPr>
                <w:spacing w:val="-10"/>
              </w:rPr>
              <w:t>28</w:t>
            </w:r>
          </w:p>
        </w:tc>
        <w:tc>
          <w:tcPr>
            <w:tcW w:w="4659" w:type="dxa"/>
            <w:vAlign w:val="top"/>
          </w:tcPr>
          <w:p w14:paraId="223F046F">
            <w:pPr>
              <w:pStyle w:val="7"/>
              <w:spacing w:before="195" w:line="214" w:lineRule="auto"/>
              <w:ind w:left="581"/>
            </w:pPr>
            <w:r>
              <w:rPr>
                <w:spacing w:val="-2"/>
              </w:rPr>
              <w:t>其中：权益部分</w:t>
            </w:r>
          </w:p>
        </w:tc>
        <w:tc>
          <w:tcPr>
            <w:tcW w:w="2198" w:type="dxa"/>
            <w:vAlign w:val="top"/>
          </w:tcPr>
          <w:p w14:paraId="313F02EE">
            <w:pPr>
              <w:pStyle w:val="7"/>
              <w:spacing w:before="23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299,983.21</w:t>
            </w:r>
          </w:p>
        </w:tc>
        <w:tc>
          <w:tcPr>
            <w:tcW w:w="1461" w:type="dxa"/>
            <w:vAlign w:val="top"/>
          </w:tcPr>
          <w:p w14:paraId="1D46788E">
            <w:pPr>
              <w:rPr>
                <w:rFonts w:ascii="Arial"/>
                <w:sz w:val="21"/>
              </w:rPr>
            </w:pPr>
          </w:p>
        </w:tc>
      </w:tr>
      <w:tr w14:paraId="44CDF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85" w:type="dxa"/>
            <w:vAlign w:val="top"/>
          </w:tcPr>
          <w:p w14:paraId="7C88B799">
            <w:pPr>
              <w:pStyle w:val="7"/>
              <w:spacing w:before="231" w:line="188" w:lineRule="auto"/>
              <w:ind w:left="372"/>
            </w:pPr>
            <w:r>
              <w:rPr>
                <w:spacing w:val="-10"/>
              </w:rPr>
              <w:t>29</w:t>
            </w:r>
          </w:p>
        </w:tc>
        <w:tc>
          <w:tcPr>
            <w:tcW w:w="4659" w:type="dxa"/>
            <w:vAlign w:val="top"/>
          </w:tcPr>
          <w:p w14:paraId="04C2F660">
            <w:pPr>
              <w:pStyle w:val="7"/>
              <w:spacing w:before="194" w:line="214" w:lineRule="auto"/>
              <w:ind w:left="581"/>
            </w:pPr>
            <w:r>
              <w:rPr>
                <w:spacing w:val="-2"/>
              </w:rPr>
              <w:t>其中：负债部分</w:t>
            </w:r>
          </w:p>
        </w:tc>
        <w:tc>
          <w:tcPr>
            <w:tcW w:w="2198" w:type="dxa"/>
            <w:vAlign w:val="top"/>
          </w:tcPr>
          <w:p w14:paraId="3EE570D6">
            <w:pPr>
              <w:pStyle w:val="7"/>
              <w:spacing w:before="324" w:line="191" w:lineRule="exact"/>
              <w:ind w:right="1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</w:t>
            </w:r>
          </w:p>
        </w:tc>
        <w:tc>
          <w:tcPr>
            <w:tcW w:w="1461" w:type="dxa"/>
            <w:vAlign w:val="top"/>
          </w:tcPr>
          <w:p w14:paraId="7E03392D">
            <w:pPr>
              <w:rPr>
                <w:rFonts w:ascii="Arial"/>
                <w:sz w:val="21"/>
              </w:rPr>
            </w:pPr>
          </w:p>
        </w:tc>
      </w:tr>
    </w:tbl>
    <w:p w14:paraId="7678A446">
      <w:pPr>
        <w:rPr>
          <w:rFonts w:ascii="Arial"/>
          <w:sz w:val="21"/>
        </w:rPr>
      </w:pPr>
    </w:p>
    <w:p w14:paraId="7E94E19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99" w:bottom="0" w:left="1298" w:header="0" w:footer="0" w:gutter="0"/>
          <w:cols w:space="720" w:num="1"/>
        </w:sectPr>
      </w:pPr>
    </w:p>
    <w:p w14:paraId="3D7D4AB8">
      <w:pPr>
        <w:spacing w:line="91" w:lineRule="auto"/>
        <w:rPr>
          <w:rFonts w:ascii="Arial"/>
          <w:sz w:val="2"/>
        </w:rPr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5DC07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85" w:type="dxa"/>
            <w:vAlign w:val="top"/>
          </w:tcPr>
          <w:p w14:paraId="20C8B6B8">
            <w:pPr>
              <w:pStyle w:val="7"/>
              <w:spacing w:before="229" w:line="188" w:lineRule="auto"/>
              <w:ind w:left="383"/>
            </w:pPr>
            <w:r>
              <w:rPr>
                <w:spacing w:val="-16"/>
              </w:rPr>
              <w:t>30</w:t>
            </w:r>
          </w:p>
        </w:tc>
        <w:tc>
          <w:tcPr>
            <w:tcW w:w="4659" w:type="dxa"/>
            <w:vAlign w:val="top"/>
          </w:tcPr>
          <w:p w14:paraId="7F6AD157">
            <w:pPr>
              <w:pStyle w:val="7"/>
              <w:spacing w:before="192" w:line="215" w:lineRule="auto"/>
              <w:ind w:left="21"/>
            </w:pPr>
            <w:r>
              <w:rPr>
                <w:spacing w:val="-1"/>
              </w:rPr>
              <w:t>少数股东资本可计入部分</w:t>
            </w:r>
          </w:p>
        </w:tc>
        <w:tc>
          <w:tcPr>
            <w:tcW w:w="2198" w:type="dxa"/>
            <w:vAlign w:val="top"/>
          </w:tcPr>
          <w:p w14:paraId="41E34771">
            <w:pPr>
              <w:pStyle w:val="7"/>
              <w:spacing w:before="322" w:line="191" w:lineRule="exact"/>
              <w:ind w:right="1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13,023.50</w:t>
            </w:r>
          </w:p>
        </w:tc>
        <w:tc>
          <w:tcPr>
            <w:tcW w:w="1461" w:type="dxa"/>
            <w:vAlign w:val="top"/>
          </w:tcPr>
          <w:p w14:paraId="5C8C2381">
            <w:pPr>
              <w:rPr>
                <w:rFonts w:ascii="Arial"/>
                <w:sz w:val="21"/>
              </w:rPr>
            </w:pPr>
          </w:p>
        </w:tc>
      </w:tr>
      <w:tr w14:paraId="19673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01271476">
            <w:pPr>
              <w:pStyle w:val="7"/>
              <w:spacing w:before="226" w:line="188" w:lineRule="auto"/>
              <w:ind w:left="383"/>
            </w:pPr>
            <w:r>
              <w:rPr>
                <w:spacing w:val="-16"/>
              </w:rPr>
              <w:t>31</w:t>
            </w:r>
          </w:p>
        </w:tc>
        <w:tc>
          <w:tcPr>
            <w:tcW w:w="4659" w:type="dxa"/>
            <w:vAlign w:val="top"/>
          </w:tcPr>
          <w:p w14:paraId="71AA3FB8">
            <w:pPr>
              <w:pStyle w:val="7"/>
              <w:spacing w:before="189" w:line="215" w:lineRule="auto"/>
              <w:ind w:left="30"/>
            </w:pPr>
            <w:r>
              <w:rPr>
                <w:b/>
                <w:bCs/>
                <w:spacing w:val="-4"/>
              </w:rPr>
              <w:t>扣除前的其他一级资本</w:t>
            </w:r>
          </w:p>
        </w:tc>
        <w:tc>
          <w:tcPr>
            <w:tcW w:w="2198" w:type="dxa"/>
            <w:vAlign w:val="top"/>
          </w:tcPr>
          <w:p w14:paraId="417C7058">
            <w:pPr>
              <w:pStyle w:val="7"/>
              <w:spacing w:before="226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313,006.71</w:t>
            </w:r>
          </w:p>
        </w:tc>
        <w:tc>
          <w:tcPr>
            <w:tcW w:w="1461" w:type="dxa"/>
            <w:vAlign w:val="top"/>
          </w:tcPr>
          <w:p w14:paraId="3F3D495F">
            <w:pPr>
              <w:rPr>
                <w:rFonts w:ascii="Arial"/>
                <w:sz w:val="21"/>
              </w:rPr>
            </w:pPr>
          </w:p>
        </w:tc>
      </w:tr>
      <w:tr w14:paraId="03761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79ACD2FA">
            <w:pPr>
              <w:pStyle w:val="7"/>
              <w:spacing w:before="188" w:line="215" w:lineRule="auto"/>
              <w:ind w:left="25"/>
            </w:pPr>
            <w:r>
              <w:rPr>
                <w:b/>
                <w:bCs/>
                <w:spacing w:val="-4"/>
              </w:rPr>
              <w:t>其他一级资本:扣除项</w:t>
            </w:r>
          </w:p>
        </w:tc>
      </w:tr>
      <w:tr w14:paraId="54198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27B6F235">
            <w:pPr>
              <w:pStyle w:val="7"/>
              <w:spacing w:before="226" w:line="188" w:lineRule="auto"/>
              <w:ind w:left="383"/>
            </w:pPr>
            <w:r>
              <w:rPr>
                <w:spacing w:val="-16"/>
              </w:rPr>
              <w:t>32</w:t>
            </w:r>
          </w:p>
        </w:tc>
        <w:tc>
          <w:tcPr>
            <w:tcW w:w="4659" w:type="dxa"/>
            <w:vAlign w:val="top"/>
          </w:tcPr>
          <w:p w14:paraId="68D825B4">
            <w:pPr>
              <w:pStyle w:val="7"/>
              <w:spacing w:before="189" w:line="352" w:lineRule="auto"/>
              <w:ind w:left="21" w:right="10" w:firstLine="10"/>
            </w:pPr>
            <w:r>
              <w:rPr>
                <w:spacing w:val="8"/>
              </w:rPr>
              <w:t>直接或间接持有的本银行其他一级资</w:t>
            </w:r>
            <w:r>
              <w:rPr>
                <w:spacing w:val="1"/>
              </w:rPr>
              <w:t xml:space="preserve"> </w:t>
            </w:r>
            <w:r>
              <w:t>本</w:t>
            </w:r>
          </w:p>
        </w:tc>
        <w:tc>
          <w:tcPr>
            <w:tcW w:w="2198" w:type="dxa"/>
            <w:vAlign w:val="top"/>
          </w:tcPr>
          <w:p w14:paraId="77595FB2">
            <w:pPr>
              <w:spacing w:line="268" w:lineRule="auto"/>
              <w:rPr>
                <w:rFonts w:ascii="Arial"/>
                <w:sz w:val="21"/>
              </w:rPr>
            </w:pPr>
          </w:p>
          <w:p w14:paraId="79849EBA">
            <w:pPr>
              <w:spacing w:line="269" w:lineRule="auto"/>
              <w:rPr>
                <w:rFonts w:ascii="Arial"/>
                <w:sz w:val="21"/>
              </w:rPr>
            </w:pPr>
          </w:p>
          <w:p w14:paraId="75C66BD0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2F3F0E07">
            <w:pPr>
              <w:rPr>
                <w:rFonts w:ascii="Arial"/>
                <w:sz w:val="21"/>
              </w:rPr>
            </w:pPr>
          </w:p>
        </w:tc>
      </w:tr>
      <w:tr w14:paraId="17D49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54C1BC4">
            <w:pPr>
              <w:pStyle w:val="7"/>
              <w:spacing w:before="226" w:line="188" w:lineRule="auto"/>
              <w:ind w:left="383"/>
            </w:pPr>
            <w:r>
              <w:rPr>
                <w:spacing w:val="-16"/>
              </w:rPr>
              <w:t>33</w:t>
            </w:r>
          </w:p>
        </w:tc>
        <w:tc>
          <w:tcPr>
            <w:tcW w:w="4659" w:type="dxa"/>
            <w:vAlign w:val="top"/>
          </w:tcPr>
          <w:p w14:paraId="6190EF12">
            <w:pPr>
              <w:pStyle w:val="7"/>
              <w:spacing w:before="189" w:line="352" w:lineRule="auto"/>
              <w:ind w:left="24" w:right="10" w:hanging="5"/>
            </w:pPr>
            <w:r>
              <w:rPr>
                <w:spacing w:val="8"/>
              </w:rPr>
              <w:t>银行间或银行与其他金融机构间通过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协议相互持有的其他一级资本</w:t>
            </w:r>
          </w:p>
        </w:tc>
        <w:tc>
          <w:tcPr>
            <w:tcW w:w="2198" w:type="dxa"/>
            <w:vAlign w:val="top"/>
          </w:tcPr>
          <w:p w14:paraId="22A21442">
            <w:pPr>
              <w:spacing w:line="268" w:lineRule="auto"/>
              <w:rPr>
                <w:rFonts w:ascii="Arial"/>
                <w:sz w:val="21"/>
              </w:rPr>
            </w:pPr>
          </w:p>
          <w:p w14:paraId="2A0693D9">
            <w:pPr>
              <w:spacing w:line="269" w:lineRule="auto"/>
              <w:rPr>
                <w:rFonts w:ascii="Arial"/>
                <w:sz w:val="21"/>
              </w:rPr>
            </w:pPr>
          </w:p>
          <w:p w14:paraId="7A1ADC9A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474F730B">
            <w:pPr>
              <w:rPr>
                <w:rFonts w:ascii="Arial"/>
                <w:sz w:val="21"/>
              </w:rPr>
            </w:pPr>
          </w:p>
        </w:tc>
      </w:tr>
      <w:tr w14:paraId="51E4D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44C8F23E">
            <w:pPr>
              <w:pStyle w:val="7"/>
              <w:spacing w:before="229" w:line="188" w:lineRule="auto"/>
              <w:ind w:left="383"/>
            </w:pPr>
            <w:r>
              <w:rPr>
                <w:spacing w:val="-16"/>
              </w:rPr>
              <w:t>34</w:t>
            </w:r>
          </w:p>
        </w:tc>
        <w:tc>
          <w:tcPr>
            <w:tcW w:w="4659" w:type="dxa"/>
            <w:vAlign w:val="top"/>
          </w:tcPr>
          <w:p w14:paraId="26343894">
            <w:pPr>
              <w:pStyle w:val="7"/>
              <w:spacing w:before="192" w:line="351" w:lineRule="auto"/>
              <w:ind w:left="54" w:right="10" w:hanging="27"/>
            </w:pPr>
            <w:r>
              <w:rPr>
                <w:spacing w:val="8"/>
              </w:rPr>
              <w:t>对未并表金融机构小额少数资本投资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中的其他一级资本中应扣除金额</w:t>
            </w:r>
          </w:p>
        </w:tc>
        <w:tc>
          <w:tcPr>
            <w:tcW w:w="2198" w:type="dxa"/>
            <w:vAlign w:val="top"/>
          </w:tcPr>
          <w:p w14:paraId="7B108085">
            <w:pPr>
              <w:spacing w:line="447" w:lineRule="auto"/>
              <w:rPr>
                <w:rFonts w:ascii="Arial"/>
                <w:sz w:val="21"/>
              </w:rPr>
            </w:pPr>
          </w:p>
          <w:p w14:paraId="53F54A6C">
            <w:pPr>
              <w:pStyle w:val="7"/>
              <w:spacing w:before="91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760C935C">
            <w:pPr>
              <w:rPr>
                <w:rFonts w:ascii="Arial"/>
                <w:sz w:val="21"/>
              </w:rPr>
            </w:pPr>
          </w:p>
        </w:tc>
      </w:tr>
      <w:tr w14:paraId="4AA09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9DF6388">
            <w:pPr>
              <w:pStyle w:val="7"/>
              <w:spacing w:before="229" w:line="188" w:lineRule="auto"/>
              <w:ind w:left="383"/>
            </w:pPr>
            <w:r>
              <w:rPr>
                <w:spacing w:val="-16"/>
              </w:rPr>
              <w:t>35</w:t>
            </w:r>
          </w:p>
        </w:tc>
        <w:tc>
          <w:tcPr>
            <w:tcW w:w="4659" w:type="dxa"/>
            <w:vAlign w:val="top"/>
          </w:tcPr>
          <w:p w14:paraId="7946777D">
            <w:pPr>
              <w:pStyle w:val="7"/>
              <w:spacing w:before="192" w:line="351" w:lineRule="auto"/>
              <w:ind w:left="54" w:right="10" w:hanging="27"/>
            </w:pPr>
            <w:r>
              <w:rPr>
                <w:spacing w:val="8"/>
              </w:rPr>
              <w:t>对未并表金融机构大额少数资本投资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中的其他一级资本中应扣除金额</w:t>
            </w:r>
          </w:p>
        </w:tc>
        <w:tc>
          <w:tcPr>
            <w:tcW w:w="2198" w:type="dxa"/>
            <w:vAlign w:val="top"/>
          </w:tcPr>
          <w:p w14:paraId="2413268F">
            <w:pPr>
              <w:spacing w:line="270" w:lineRule="auto"/>
              <w:rPr>
                <w:rFonts w:ascii="Arial"/>
                <w:sz w:val="21"/>
              </w:rPr>
            </w:pPr>
          </w:p>
          <w:p w14:paraId="6A2DCBF1">
            <w:pPr>
              <w:spacing w:line="270" w:lineRule="auto"/>
              <w:rPr>
                <w:rFonts w:ascii="Arial"/>
                <w:sz w:val="21"/>
              </w:rPr>
            </w:pPr>
          </w:p>
          <w:p w14:paraId="39C873E0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73D9B1BA">
            <w:pPr>
              <w:rPr>
                <w:rFonts w:ascii="Arial"/>
                <w:sz w:val="21"/>
              </w:rPr>
            </w:pPr>
          </w:p>
        </w:tc>
      </w:tr>
      <w:tr w14:paraId="30983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FA41507">
            <w:pPr>
              <w:pStyle w:val="7"/>
              <w:spacing w:before="229" w:line="188" w:lineRule="auto"/>
              <w:ind w:left="383"/>
            </w:pPr>
            <w:r>
              <w:rPr>
                <w:spacing w:val="-16"/>
              </w:rPr>
              <w:t>36</w:t>
            </w:r>
          </w:p>
        </w:tc>
        <w:tc>
          <w:tcPr>
            <w:tcW w:w="4659" w:type="dxa"/>
            <w:vAlign w:val="top"/>
          </w:tcPr>
          <w:p w14:paraId="38730A2C">
            <w:pPr>
              <w:pStyle w:val="7"/>
              <w:spacing w:before="192" w:line="351" w:lineRule="auto"/>
              <w:ind w:left="24" w:right="10" w:hanging="3"/>
            </w:pPr>
            <w:r>
              <w:rPr>
                <w:spacing w:val="8"/>
              </w:rPr>
              <w:t>其他应在其他一级资本中扣除的项目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合计</w:t>
            </w:r>
          </w:p>
        </w:tc>
        <w:tc>
          <w:tcPr>
            <w:tcW w:w="2198" w:type="dxa"/>
            <w:vAlign w:val="top"/>
          </w:tcPr>
          <w:p w14:paraId="4A272ACC">
            <w:pPr>
              <w:spacing w:line="270" w:lineRule="auto"/>
              <w:rPr>
                <w:rFonts w:ascii="Arial"/>
                <w:sz w:val="21"/>
              </w:rPr>
            </w:pPr>
          </w:p>
          <w:p w14:paraId="1B2F44AA">
            <w:pPr>
              <w:spacing w:line="270" w:lineRule="auto"/>
              <w:rPr>
                <w:rFonts w:ascii="Arial"/>
                <w:sz w:val="21"/>
              </w:rPr>
            </w:pPr>
          </w:p>
          <w:p w14:paraId="2B515E53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43049F14">
            <w:pPr>
              <w:rPr>
                <w:rFonts w:ascii="Arial"/>
                <w:sz w:val="21"/>
              </w:rPr>
            </w:pPr>
          </w:p>
        </w:tc>
      </w:tr>
      <w:tr w14:paraId="53B7B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3BC58E8E">
            <w:pPr>
              <w:pStyle w:val="7"/>
              <w:spacing w:before="231" w:line="188" w:lineRule="auto"/>
              <w:ind w:left="383"/>
            </w:pPr>
            <w:r>
              <w:rPr>
                <w:spacing w:val="-16"/>
              </w:rPr>
              <w:t>37</w:t>
            </w:r>
          </w:p>
        </w:tc>
        <w:tc>
          <w:tcPr>
            <w:tcW w:w="4659" w:type="dxa"/>
            <w:vAlign w:val="top"/>
          </w:tcPr>
          <w:p w14:paraId="7CD03D0D">
            <w:pPr>
              <w:pStyle w:val="7"/>
              <w:spacing w:before="195" w:line="214" w:lineRule="auto"/>
              <w:ind w:left="28"/>
            </w:pPr>
            <w:r>
              <w:rPr>
                <w:spacing w:val="-2"/>
              </w:rPr>
              <w:t>应从二级资本中扣除的未扣缺口</w:t>
            </w:r>
          </w:p>
        </w:tc>
        <w:tc>
          <w:tcPr>
            <w:tcW w:w="2198" w:type="dxa"/>
            <w:vAlign w:val="top"/>
          </w:tcPr>
          <w:p w14:paraId="00A3487F">
            <w:pPr>
              <w:pStyle w:val="7"/>
              <w:spacing w:before="324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57D5921C">
            <w:pPr>
              <w:rPr>
                <w:rFonts w:ascii="Arial"/>
                <w:sz w:val="21"/>
              </w:rPr>
            </w:pPr>
          </w:p>
        </w:tc>
      </w:tr>
      <w:tr w14:paraId="2B010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34B9064">
            <w:pPr>
              <w:pStyle w:val="7"/>
              <w:spacing w:before="230" w:line="188" w:lineRule="auto"/>
              <w:ind w:left="383"/>
            </w:pPr>
            <w:r>
              <w:rPr>
                <w:spacing w:val="-16"/>
              </w:rPr>
              <w:t>38</w:t>
            </w:r>
          </w:p>
        </w:tc>
        <w:tc>
          <w:tcPr>
            <w:tcW w:w="4659" w:type="dxa"/>
            <w:vAlign w:val="top"/>
          </w:tcPr>
          <w:p w14:paraId="031F6363">
            <w:pPr>
              <w:pStyle w:val="7"/>
              <w:spacing w:before="194" w:line="215" w:lineRule="auto"/>
              <w:ind w:left="21"/>
            </w:pPr>
            <w:r>
              <w:rPr>
                <w:b/>
                <w:bCs/>
                <w:spacing w:val="-3"/>
              </w:rPr>
              <w:t>其他一级资本扣除项总和</w:t>
            </w:r>
          </w:p>
        </w:tc>
        <w:tc>
          <w:tcPr>
            <w:tcW w:w="2198" w:type="dxa"/>
            <w:vAlign w:val="top"/>
          </w:tcPr>
          <w:p w14:paraId="18CF103E">
            <w:pPr>
              <w:pStyle w:val="7"/>
              <w:spacing w:before="230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68861B4C">
            <w:pPr>
              <w:rPr>
                <w:rFonts w:ascii="Arial"/>
                <w:sz w:val="21"/>
              </w:rPr>
            </w:pPr>
          </w:p>
        </w:tc>
      </w:tr>
      <w:tr w14:paraId="5D56B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3B28A01">
            <w:pPr>
              <w:pStyle w:val="7"/>
              <w:spacing w:before="232" w:line="188" w:lineRule="auto"/>
              <w:ind w:left="383"/>
            </w:pPr>
            <w:r>
              <w:rPr>
                <w:spacing w:val="-16"/>
              </w:rPr>
              <w:t>39</w:t>
            </w:r>
          </w:p>
        </w:tc>
        <w:tc>
          <w:tcPr>
            <w:tcW w:w="4659" w:type="dxa"/>
            <w:vAlign w:val="top"/>
          </w:tcPr>
          <w:p w14:paraId="3CAEE09C">
            <w:pPr>
              <w:pStyle w:val="7"/>
              <w:spacing w:before="195" w:line="214" w:lineRule="auto"/>
              <w:ind w:left="21"/>
            </w:pPr>
            <w:r>
              <w:rPr>
                <w:b/>
                <w:bCs/>
                <w:spacing w:val="-4"/>
              </w:rPr>
              <w:t>其他一级资本净额</w:t>
            </w:r>
          </w:p>
        </w:tc>
        <w:tc>
          <w:tcPr>
            <w:tcW w:w="2198" w:type="dxa"/>
            <w:vAlign w:val="top"/>
          </w:tcPr>
          <w:p w14:paraId="1B587147">
            <w:pPr>
              <w:pStyle w:val="7"/>
              <w:spacing w:before="23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313,006.71</w:t>
            </w:r>
          </w:p>
        </w:tc>
        <w:tc>
          <w:tcPr>
            <w:tcW w:w="1461" w:type="dxa"/>
            <w:vAlign w:val="top"/>
          </w:tcPr>
          <w:p w14:paraId="025EED45">
            <w:pPr>
              <w:rPr>
                <w:rFonts w:ascii="Arial"/>
                <w:sz w:val="21"/>
              </w:rPr>
            </w:pPr>
          </w:p>
        </w:tc>
      </w:tr>
      <w:tr w14:paraId="6F8AB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66218A40">
            <w:pPr>
              <w:pStyle w:val="7"/>
              <w:spacing w:before="231" w:line="188" w:lineRule="auto"/>
              <w:ind w:left="371"/>
            </w:pPr>
            <w:r>
              <w:rPr>
                <w:spacing w:val="-10"/>
              </w:rPr>
              <w:t>40</w:t>
            </w:r>
          </w:p>
        </w:tc>
        <w:tc>
          <w:tcPr>
            <w:tcW w:w="4659" w:type="dxa"/>
            <w:vAlign w:val="top"/>
          </w:tcPr>
          <w:p w14:paraId="75C04CA8">
            <w:pPr>
              <w:pStyle w:val="7"/>
              <w:spacing w:before="194" w:line="214" w:lineRule="auto"/>
              <w:ind w:left="39"/>
            </w:pPr>
            <w:r>
              <w:rPr>
                <w:b/>
                <w:bCs/>
                <w:spacing w:val="-7"/>
              </w:rPr>
              <w:t>一级资本净额</w:t>
            </w:r>
          </w:p>
        </w:tc>
        <w:tc>
          <w:tcPr>
            <w:tcW w:w="2198" w:type="dxa"/>
            <w:vAlign w:val="top"/>
          </w:tcPr>
          <w:p w14:paraId="79F31B1C">
            <w:pPr>
              <w:pStyle w:val="7"/>
              <w:spacing w:before="230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1,986,070.27</w:t>
            </w:r>
          </w:p>
        </w:tc>
        <w:tc>
          <w:tcPr>
            <w:tcW w:w="1461" w:type="dxa"/>
            <w:vAlign w:val="top"/>
          </w:tcPr>
          <w:p w14:paraId="6672B665">
            <w:pPr>
              <w:rPr>
                <w:rFonts w:ascii="Arial"/>
                <w:sz w:val="21"/>
              </w:rPr>
            </w:pPr>
          </w:p>
        </w:tc>
      </w:tr>
      <w:tr w14:paraId="48119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7ECE1C58">
            <w:pPr>
              <w:pStyle w:val="7"/>
              <w:spacing w:before="193" w:line="215" w:lineRule="auto"/>
              <w:ind w:left="40"/>
            </w:pPr>
            <w:r>
              <w:rPr>
                <w:b/>
                <w:bCs/>
                <w:spacing w:val="-9"/>
              </w:rPr>
              <w:t>二级资本</w:t>
            </w:r>
          </w:p>
        </w:tc>
      </w:tr>
      <w:tr w14:paraId="206A7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3F909808">
            <w:pPr>
              <w:pStyle w:val="7"/>
              <w:spacing w:before="231" w:line="188" w:lineRule="auto"/>
              <w:ind w:left="371"/>
            </w:pPr>
            <w:r>
              <w:rPr>
                <w:spacing w:val="-10"/>
              </w:rPr>
              <w:t>41</w:t>
            </w:r>
          </w:p>
        </w:tc>
        <w:tc>
          <w:tcPr>
            <w:tcW w:w="4659" w:type="dxa"/>
            <w:vAlign w:val="top"/>
          </w:tcPr>
          <w:p w14:paraId="5161CE94">
            <w:pPr>
              <w:pStyle w:val="7"/>
              <w:spacing w:before="194" w:line="215" w:lineRule="auto"/>
              <w:ind w:left="37"/>
            </w:pPr>
            <w:r>
              <w:rPr>
                <w:spacing w:val="-3"/>
              </w:rPr>
              <w:t>二级资本工具及其溢价</w:t>
            </w:r>
          </w:p>
        </w:tc>
        <w:tc>
          <w:tcPr>
            <w:tcW w:w="2198" w:type="dxa"/>
            <w:vAlign w:val="top"/>
          </w:tcPr>
          <w:p w14:paraId="391E31C5">
            <w:pPr>
              <w:pStyle w:val="7"/>
              <w:spacing w:before="23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58F9A0D7">
            <w:pPr>
              <w:rPr>
                <w:rFonts w:ascii="Arial"/>
                <w:sz w:val="21"/>
              </w:rPr>
            </w:pPr>
          </w:p>
        </w:tc>
      </w:tr>
      <w:tr w14:paraId="50914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9B7FE5E">
            <w:pPr>
              <w:pStyle w:val="7"/>
              <w:spacing w:before="230" w:line="188" w:lineRule="auto"/>
              <w:ind w:left="371"/>
            </w:pPr>
            <w:r>
              <w:rPr>
                <w:spacing w:val="-10"/>
              </w:rPr>
              <w:t>42</w:t>
            </w:r>
          </w:p>
        </w:tc>
        <w:tc>
          <w:tcPr>
            <w:tcW w:w="4659" w:type="dxa"/>
            <w:vAlign w:val="top"/>
          </w:tcPr>
          <w:p w14:paraId="1BD554B1">
            <w:pPr>
              <w:pStyle w:val="7"/>
              <w:spacing w:before="193" w:line="215" w:lineRule="auto"/>
              <w:ind w:left="21"/>
            </w:pPr>
            <w:r>
              <w:rPr>
                <w:spacing w:val="-1"/>
              </w:rPr>
              <w:t>少数股东资本可计入部分</w:t>
            </w:r>
          </w:p>
        </w:tc>
        <w:tc>
          <w:tcPr>
            <w:tcW w:w="2198" w:type="dxa"/>
            <w:vAlign w:val="top"/>
          </w:tcPr>
          <w:p w14:paraId="7727C586">
            <w:pPr>
              <w:pStyle w:val="7"/>
              <w:spacing w:before="323" w:line="192" w:lineRule="exact"/>
              <w:ind w:right="1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26,046.99</w:t>
            </w:r>
          </w:p>
        </w:tc>
        <w:tc>
          <w:tcPr>
            <w:tcW w:w="1461" w:type="dxa"/>
            <w:vAlign w:val="top"/>
          </w:tcPr>
          <w:p w14:paraId="45DD48D4">
            <w:pPr>
              <w:rPr>
                <w:rFonts w:ascii="Arial"/>
                <w:sz w:val="21"/>
              </w:rPr>
            </w:pPr>
          </w:p>
        </w:tc>
      </w:tr>
      <w:tr w14:paraId="6810A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85" w:type="dxa"/>
            <w:vAlign w:val="top"/>
          </w:tcPr>
          <w:p w14:paraId="52BB05A3">
            <w:pPr>
              <w:pStyle w:val="7"/>
              <w:spacing w:before="231" w:line="188" w:lineRule="auto"/>
              <w:ind w:left="371"/>
            </w:pPr>
            <w:r>
              <w:rPr>
                <w:spacing w:val="-10"/>
              </w:rPr>
              <w:t>43</w:t>
            </w:r>
          </w:p>
        </w:tc>
        <w:tc>
          <w:tcPr>
            <w:tcW w:w="4659" w:type="dxa"/>
            <w:vAlign w:val="top"/>
          </w:tcPr>
          <w:p w14:paraId="7EFBF78B">
            <w:pPr>
              <w:pStyle w:val="7"/>
              <w:spacing w:before="194" w:line="216" w:lineRule="auto"/>
              <w:ind w:left="16"/>
            </w:pPr>
            <w:r>
              <w:rPr>
                <w:spacing w:val="-1"/>
              </w:rPr>
              <w:t>超额损失准备可计入部分</w:t>
            </w:r>
          </w:p>
        </w:tc>
        <w:tc>
          <w:tcPr>
            <w:tcW w:w="2198" w:type="dxa"/>
            <w:vAlign w:val="top"/>
          </w:tcPr>
          <w:p w14:paraId="7011C4FE">
            <w:pPr>
              <w:pStyle w:val="7"/>
              <w:spacing w:before="23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61,914.92</w:t>
            </w:r>
          </w:p>
        </w:tc>
        <w:tc>
          <w:tcPr>
            <w:tcW w:w="1461" w:type="dxa"/>
            <w:vAlign w:val="top"/>
          </w:tcPr>
          <w:p w14:paraId="26104901">
            <w:pPr>
              <w:rPr>
                <w:rFonts w:ascii="Arial"/>
                <w:sz w:val="21"/>
              </w:rPr>
            </w:pPr>
          </w:p>
        </w:tc>
      </w:tr>
    </w:tbl>
    <w:p w14:paraId="447AB29B">
      <w:pPr>
        <w:rPr>
          <w:rFonts w:ascii="Arial"/>
          <w:sz w:val="21"/>
        </w:rPr>
      </w:pPr>
    </w:p>
    <w:p w14:paraId="7004F3E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99" w:bottom="0" w:left="1298" w:header="0" w:footer="0" w:gutter="0"/>
          <w:cols w:space="720" w:num="1"/>
        </w:sectPr>
      </w:pPr>
    </w:p>
    <w:p w14:paraId="68D05B89">
      <w:pPr>
        <w:spacing w:line="91" w:lineRule="auto"/>
        <w:rPr>
          <w:rFonts w:ascii="Arial"/>
          <w:sz w:val="2"/>
        </w:rPr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48898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85" w:type="dxa"/>
            <w:vAlign w:val="top"/>
          </w:tcPr>
          <w:p w14:paraId="19A0B439">
            <w:pPr>
              <w:pStyle w:val="7"/>
              <w:spacing w:before="228" w:line="188" w:lineRule="auto"/>
              <w:ind w:left="371"/>
            </w:pPr>
            <w:r>
              <w:rPr>
                <w:spacing w:val="-10"/>
              </w:rPr>
              <w:t>44</w:t>
            </w:r>
          </w:p>
        </w:tc>
        <w:tc>
          <w:tcPr>
            <w:tcW w:w="4659" w:type="dxa"/>
            <w:vAlign w:val="top"/>
          </w:tcPr>
          <w:p w14:paraId="5DE699B5">
            <w:pPr>
              <w:pStyle w:val="7"/>
              <w:spacing w:before="192" w:line="215" w:lineRule="auto"/>
              <w:ind w:left="30"/>
            </w:pPr>
            <w:r>
              <w:rPr>
                <w:b/>
                <w:bCs/>
                <w:spacing w:val="-5"/>
              </w:rPr>
              <w:t>扣除前的二级资本</w:t>
            </w:r>
          </w:p>
        </w:tc>
        <w:tc>
          <w:tcPr>
            <w:tcW w:w="2198" w:type="dxa"/>
            <w:vAlign w:val="top"/>
          </w:tcPr>
          <w:p w14:paraId="61F262DE">
            <w:pPr>
              <w:pStyle w:val="7"/>
              <w:spacing w:before="228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87,961.91</w:t>
            </w:r>
          </w:p>
        </w:tc>
        <w:tc>
          <w:tcPr>
            <w:tcW w:w="1461" w:type="dxa"/>
            <w:vAlign w:val="top"/>
          </w:tcPr>
          <w:p w14:paraId="667457E8">
            <w:pPr>
              <w:rPr>
                <w:rFonts w:ascii="Arial"/>
                <w:sz w:val="21"/>
              </w:rPr>
            </w:pPr>
          </w:p>
        </w:tc>
      </w:tr>
      <w:tr w14:paraId="0CDEC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3AF7E293">
            <w:pPr>
              <w:pStyle w:val="7"/>
              <w:spacing w:before="189" w:line="215" w:lineRule="auto"/>
              <w:ind w:left="40"/>
            </w:pPr>
            <w:r>
              <w:rPr>
                <w:b/>
                <w:bCs/>
                <w:spacing w:val="-6"/>
              </w:rPr>
              <w:t>二级资本：扣除项</w:t>
            </w:r>
          </w:p>
        </w:tc>
      </w:tr>
      <w:tr w14:paraId="22ACF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985" w:type="dxa"/>
            <w:vAlign w:val="top"/>
          </w:tcPr>
          <w:p w14:paraId="2482DEE5">
            <w:pPr>
              <w:pStyle w:val="7"/>
              <w:spacing w:before="259" w:line="188" w:lineRule="auto"/>
              <w:ind w:left="371"/>
            </w:pPr>
            <w:r>
              <w:rPr>
                <w:spacing w:val="-10"/>
              </w:rPr>
              <w:t>45</w:t>
            </w:r>
          </w:p>
        </w:tc>
        <w:tc>
          <w:tcPr>
            <w:tcW w:w="4659" w:type="dxa"/>
            <w:vAlign w:val="top"/>
          </w:tcPr>
          <w:p w14:paraId="5CD3F321">
            <w:pPr>
              <w:pStyle w:val="7"/>
              <w:spacing w:before="222" w:line="215" w:lineRule="auto"/>
              <w:ind w:left="32"/>
            </w:pPr>
            <w:r>
              <w:rPr>
                <w:spacing w:val="-2"/>
              </w:rPr>
              <w:t>直接或间接持有的本银行的二级资本</w:t>
            </w:r>
          </w:p>
        </w:tc>
        <w:tc>
          <w:tcPr>
            <w:tcW w:w="2198" w:type="dxa"/>
            <w:vAlign w:val="top"/>
          </w:tcPr>
          <w:p w14:paraId="2E054C95">
            <w:pPr>
              <w:spacing w:line="259" w:lineRule="auto"/>
              <w:rPr>
                <w:rFonts w:ascii="Arial"/>
                <w:sz w:val="21"/>
              </w:rPr>
            </w:pPr>
          </w:p>
          <w:p w14:paraId="49476DC3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2F081266">
            <w:pPr>
              <w:rPr>
                <w:rFonts w:ascii="Arial"/>
                <w:sz w:val="21"/>
              </w:rPr>
            </w:pPr>
          </w:p>
        </w:tc>
      </w:tr>
      <w:tr w14:paraId="6B453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081D7E12">
            <w:pPr>
              <w:spacing w:line="445" w:lineRule="auto"/>
              <w:rPr>
                <w:rFonts w:ascii="Arial"/>
                <w:sz w:val="21"/>
              </w:rPr>
            </w:pPr>
          </w:p>
          <w:p w14:paraId="69DA0AA4">
            <w:pPr>
              <w:pStyle w:val="7"/>
              <w:spacing w:before="91" w:line="188" w:lineRule="auto"/>
              <w:ind w:left="371"/>
            </w:pPr>
            <w:r>
              <w:rPr>
                <w:spacing w:val="-10"/>
              </w:rPr>
              <w:t>46</w:t>
            </w:r>
          </w:p>
        </w:tc>
        <w:tc>
          <w:tcPr>
            <w:tcW w:w="4659" w:type="dxa"/>
            <w:vAlign w:val="top"/>
          </w:tcPr>
          <w:p w14:paraId="79E3E66E">
            <w:pPr>
              <w:pStyle w:val="7"/>
              <w:spacing w:before="189" w:line="352" w:lineRule="auto"/>
              <w:ind w:left="24" w:right="162" w:hanging="5"/>
            </w:pPr>
            <w:r>
              <w:rPr>
                <w:spacing w:val="-1"/>
              </w:rPr>
              <w:t>银行间或银行与其他金融机构间通过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协议相互持有的其他一级资本</w:t>
            </w:r>
          </w:p>
        </w:tc>
        <w:tc>
          <w:tcPr>
            <w:tcW w:w="2198" w:type="dxa"/>
            <w:vAlign w:val="top"/>
          </w:tcPr>
          <w:p w14:paraId="28518B44">
            <w:pPr>
              <w:spacing w:line="269" w:lineRule="auto"/>
              <w:rPr>
                <w:rFonts w:ascii="Arial"/>
                <w:sz w:val="21"/>
              </w:rPr>
            </w:pPr>
          </w:p>
          <w:p w14:paraId="1F877699">
            <w:pPr>
              <w:spacing w:line="269" w:lineRule="auto"/>
              <w:rPr>
                <w:rFonts w:ascii="Arial"/>
                <w:sz w:val="21"/>
              </w:rPr>
            </w:pPr>
          </w:p>
          <w:p w14:paraId="7258A2DF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7A067A05">
            <w:pPr>
              <w:rPr>
                <w:rFonts w:ascii="Arial"/>
                <w:sz w:val="21"/>
              </w:rPr>
            </w:pPr>
          </w:p>
        </w:tc>
      </w:tr>
      <w:tr w14:paraId="3CEDB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57B331D">
            <w:pPr>
              <w:spacing w:line="445" w:lineRule="auto"/>
              <w:rPr>
                <w:rFonts w:ascii="Arial"/>
                <w:sz w:val="21"/>
              </w:rPr>
            </w:pPr>
          </w:p>
          <w:p w14:paraId="202AE134">
            <w:pPr>
              <w:pStyle w:val="7"/>
              <w:spacing w:before="91" w:line="188" w:lineRule="auto"/>
              <w:ind w:left="371"/>
            </w:pPr>
            <w:r>
              <w:rPr>
                <w:spacing w:val="-10"/>
              </w:rPr>
              <w:t>47</w:t>
            </w:r>
          </w:p>
        </w:tc>
        <w:tc>
          <w:tcPr>
            <w:tcW w:w="4659" w:type="dxa"/>
            <w:vAlign w:val="top"/>
          </w:tcPr>
          <w:p w14:paraId="58CA9830">
            <w:pPr>
              <w:pStyle w:val="7"/>
              <w:spacing w:before="189" w:line="352" w:lineRule="auto"/>
              <w:ind w:left="54" w:right="10" w:hanging="27"/>
            </w:pPr>
            <w:r>
              <w:rPr>
                <w:spacing w:val="8"/>
              </w:rPr>
              <w:t>对未并表金融机构小额少数资本投资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中的二级资本中应扣除金额</w:t>
            </w:r>
          </w:p>
        </w:tc>
        <w:tc>
          <w:tcPr>
            <w:tcW w:w="2198" w:type="dxa"/>
            <w:vAlign w:val="top"/>
          </w:tcPr>
          <w:p w14:paraId="0937F7CA">
            <w:pPr>
              <w:spacing w:line="445" w:lineRule="auto"/>
              <w:rPr>
                <w:rFonts w:ascii="Arial"/>
                <w:sz w:val="21"/>
              </w:rPr>
            </w:pPr>
          </w:p>
          <w:p w14:paraId="06F412E6">
            <w:pPr>
              <w:pStyle w:val="7"/>
              <w:spacing w:before="91" w:line="188" w:lineRule="auto"/>
              <w:ind w:right="8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  <w:p w14:paraId="6F8AB368">
            <w:pPr>
              <w:pStyle w:val="7"/>
              <w:spacing w:before="91" w:line="188" w:lineRule="auto"/>
              <w:ind w:right="8"/>
              <w:jc w:val="right"/>
              <w:rPr>
                <w:rFonts w:hint="eastAsia"/>
                <w:lang w:val="en-US" w:eastAsia="zh-CN"/>
              </w:rPr>
            </w:pPr>
          </w:p>
        </w:tc>
        <w:tc>
          <w:tcPr>
            <w:tcW w:w="1461" w:type="dxa"/>
            <w:vAlign w:val="top"/>
          </w:tcPr>
          <w:p w14:paraId="332CA8CE">
            <w:pPr>
              <w:rPr>
                <w:rFonts w:ascii="Arial"/>
                <w:sz w:val="21"/>
              </w:rPr>
            </w:pPr>
          </w:p>
        </w:tc>
      </w:tr>
      <w:tr w14:paraId="1BABD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01640A26">
            <w:pPr>
              <w:spacing w:line="447" w:lineRule="auto"/>
              <w:rPr>
                <w:rFonts w:ascii="Arial"/>
                <w:sz w:val="21"/>
              </w:rPr>
            </w:pPr>
          </w:p>
          <w:p w14:paraId="14730644">
            <w:pPr>
              <w:pStyle w:val="7"/>
              <w:spacing w:before="91" w:line="188" w:lineRule="auto"/>
              <w:ind w:left="371"/>
            </w:pPr>
            <w:r>
              <w:rPr>
                <w:spacing w:val="-10"/>
              </w:rPr>
              <w:t>48</w:t>
            </w:r>
          </w:p>
        </w:tc>
        <w:tc>
          <w:tcPr>
            <w:tcW w:w="4659" w:type="dxa"/>
            <w:vAlign w:val="top"/>
          </w:tcPr>
          <w:p w14:paraId="4BE865FE">
            <w:pPr>
              <w:pStyle w:val="7"/>
              <w:spacing w:before="192" w:line="351" w:lineRule="auto"/>
              <w:ind w:left="54" w:right="10" w:hanging="27"/>
            </w:pPr>
            <w:r>
              <w:rPr>
                <w:spacing w:val="8"/>
              </w:rPr>
              <w:t>对未并表金融机构大额少数资本投资</w:t>
            </w:r>
            <w:r>
              <w:rPr>
                <w:spacing w:val="6"/>
              </w:rPr>
              <w:t xml:space="preserve"> </w:t>
            </w:r>
            <w:r>
              <w:rPr>
                <w:spacing w:val="-8"/>
              </w:rPr>
              <w:t>中的二级资本</w:t>
            </w:r>
          </w:p>
        </w:tc>
        <w:tc>
          <w:tcPr>
            <w:tcW w:w="2198" w:type="dxa"/>
            <w:vAlign w:val="top"/>
          </w:tcPr>
          <w:p w14:paraId="2844DF12">
            <w:pPr>
              <w:spacing w:line="270" w:lineRule="auto"/>
              <w:rPr>
                <w:rFonts w:ascii="Arial"/>
                <w:sz w:val="21"/>
              </w:rPr>
            </w:pPr>
          </w:p>
          <w:p w14:paraId="1323C02E">
            <w:pPr>
              <w:spacing w:line="270" w:lineRule="auto"/>
              <w:rPr>
                <w:rFonts w:ascii="Arial"/>
                <w:sz w:val="21"/>
              </w:rPr>
            </w:pPr>
          </w:p>
          <w:p w14:paraId="341A0747">
            <w:pPr>
              <w:pStyle w:val="7"/>
              <w:spacing w:before="91" w:line="191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1D80CD04">
            <w:pPr>
              <w:rPr>
                <w:rFonts w:ascii="Arial"/>
                <w:sz w:val="21"/>
              </w:rPr>
            </w:pPr>
          </w:p>
        </w:tc>
      </w:tr>
      <w:tr w14:paraId="49F59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985" w:type="dxa"/>
            <w:vAlign w:val="top"/>
          </w:tcPr>
          <w:p w14:paraId="2713E30B">
            <w:pPr>
              <w:pStyle w:val="7"/>
              <w:spacing w:before="263" w:line="188" w:lineRule="auto"/>
              <w:ind w:left="371"/>
            </w:pPr>
            <w:r>
              <w:rPr>
                <w:spacing w:val="-10"/>
              </w:rPr>
              <w:t>49</w:t>
            </w:r>
          </w:p>
        </w:tc>
        <w:tc>
          <w:tcPr>
            <w:tcW w:w="4659" w:type="dxa"/>
            <w:vAlign w:val="top"/>
          </w:tcPr>
          <w:p w14:paraId="0E1CBE6D">
            <w:pPr>
              <w:pStyle w:val="7"/>
              <w:spacing w:before="226" w:line="214" w:lineRule="auto"/>
              <w:ind w:left="21"/>
            </w:pPr>
            <w:r>
              <w:rPr>
                <w:spacing w:val="-1"/>
              </w:rPr>
              <w:t>其他应在二级资本中扣除的项目合计</w:t>
            </w:r>
          </w:p>
        </w:tc>
        <w:tc>
          <w:tcPr>
            <w:tcW w:w="2198" w:type="dxa"/>
            <w:vAlign w:val="top"/>
          </w:tcPr>
          <w:p w14:paraId="09B65546">
            <w:pPr>
              <w:pStyle w:val="7"/>
              <w:spacing w:before="262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07B78399">
            <w:pPr>
              <w:rPr>
                <w:rFonts w:ascii="Arial"/>
                <w:sz w:val="21"/>
              </w:rPr>
            </w:pPr>
          </w:p>
        </w:tc>
      </w:tr>
      <w:tr w14:paraId="2F8C6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75C6F173">
            <w:pPr>
              <w:pStyle w:val="7"/>
              <w:spacing w:before="230" w:line="188" w:lineRule="auto"/>
              <w:ind w:left="375"/>
            </w:pPr>
            <w:r>
              <w:rPr>
                <w:spacing w:val="-12"/>
              </w:rPr>
              <w:t>50</w:t>
            </w:r>
          </w:p>
        </w:tc>
        <w:tc>
          <w:tcPr>
            <w:tcW w:w="4659" w:type="dxa"/>
            <w:vAlign w:val="top"/>
          </w:tcPr>
          <w:p w14:paraId="112F97F8">
            <w:pPr>
              <w:pStyle w:val="7"/>
              <w:spacing w:before="193" w:line="215" w:lineRule="auto"/>
              <w:ind w:left="37"/>
            </w:pPr>
            <w:r>
              <w:rPr>
                <w:b/>
                <w:bCs/>
                <w:spacing w:val="-5"/>
              </w:rPr>
              <w:t>二级资本扣除项总和</w:t>
            </w:r>
          </w:p>
        </w:tc>
        <w:tc>
          <w:tcPr>
            <w:tcW w:w="2198" w:type="dxa"/>
            <w:vAlign w:val="top"/>
          </w:tcPr>
          <w:p w14:paraId="1F536877">
            <w:pPr>
              <w:pStyle w:val="7"/>
              <w:spacing w:before="229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457BBBB1">
            <w:pPr>
              <w:rPr>
                <w:rFonts w:ascii="Arial"/>
                <w:sz w:val="21"/>
              </w:rPr>
            </w:pPr>
          </w:p>
        </w:tc>
      </w:tr>
      <w:tr w14:paraId="04526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67299B3">
            <w:pPr>
              <w:pStyle w:val="7"/>
              <w:spacing w:before="229" w:line="188" w:lineRule="auto"/>
              <w:ind w:left="375"/>
            </w:pPr>
            <w:r>
              <w:rPr>
                <w:spacing w:val="-12"/>
              </w:rPr>
              <w:t>51</w:t>
            </w:r>
          </w:p>
        </w:tc>
        <w:tc>
          <w:tcPr>
            <w:tcW w:w="4659" w:type="dxa"/>
            <w:vAlign w:val="top"/>
          </w:tcPr>
          <w:p w14:paraId="3AA18DE5">
            <w:pPr>
              <w:pStyle w:val="7"/>
              <w:spacing w:before="192" w:line="214" w:lineRule="auto"/>
              <w:ind w:left="37"/>
            </w:pPr>
            <w:r>
              <w:rPr>
                <w:b/>
                <w:bCs/>
                <w:spacing w:val="-7"/>
              </w:rPr>
              <w:t>二级资本净额</w:t>
            </w:r>
          </w:p>
        </w:tc>
        <w:tc>
          <w:tcPr>
            <w:tcW w:w="2198" w:type="dxa"/>
            <w:vAlign w:val="top"/>
          </w:tcPr>
          <w:p w14:paraId="0A2A01F6">
            <w:pPr>
              <w:pStyle w:val="7"/>
              <w:spacing w:before="228" w:line="188" w:lineRule="auto"/>
              <w:ind w:right="8" w:rightChars="0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87,961.91</w:t>
            </w:r>
          </w:p>
        </w:tc>
        <w:tc>
          <w:tcPr>
            <w:tcW w:w="1461" w:type="dxa"/>
            <w:vAlign w:val="top"/>
          </w:tcPr>
          <w:p w14:paraId="6C604DA3">
            <w:pPr>
              <w:rPr>
                <w:rFonts w:ascii="Arial"/>
                <w:sz w:val="21"/>
              </w:rPr>
            </w:pPr>
          </w:p>
        </w:tc>
      </w:tr>
      <w:tr w14:paraId="48318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EEC20D1">
            <w:pPr>
              <w:pStyle w:val="7"/>
              <w:spacing w:before="230" w:line="188" w:lineRule="auto"/>
              <w:ind w:left="375"/>
            </w:pPr>
            <w:r>
              <w:rPr>
                <w:spacing w:val="-12"/>
              </w:rPr>
              <w:t>52</w:t>
            </w:r>
          </w:p>
        </w:tc>
        <w:tc>
          <w:tcPr>
            <w:tcW w:w="4659" w:type="dxa"/>
            <w:vAlign w:val="top"/>
          </w:tcPr>
          <w:p w14:paraId="6B89F016">
            <w:pPr>
              <w:pStyle w:val="7"/>
              <w:spacing w:before="194" w:line="214" w:lineRule="auto"/>
              <w:ind w:left="40"/>
            </w:pPr>
            <w:r>
              <w:rPr>
                <w:b/>
                <w:bCs/>
                <w:spacing w:val="-9"/>
              </w:rPr>
              <w:t>总资本净额</w:t>
            </w:r>
          </w:p>
        </w:tc>
        <w:tc>
          <w:tcPr>
            <w:tcW w:w="2198" w:type="dxa"/>
            <w:vAlign w:val="top"/>
          </w:tcPr>
          <w:p w14:paraId="47F0ED18">
            <w:pPr>
              <w:pStyle w:val="7"/>
              <w:spacing w:before="230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2,074,032.18</w:t>
            </w:r>
          </w:p>
        </w:tc>
        <w:tc>
          <w:tcPr>
            <w:tcW w:w="1461" w:type="dxa"/>
            <w:vAlign w:val="top"/>
          </w:tcPr>
          <w:p w14:paraId="3BD9225C">
            <w:pPr>
              <w:rPr>
                <w:rFonts w:ascii="Arial"/>
                <w:sz w:val="21"/>
              </w:rPr>
            </w:pPr>
          </w:p>
        </w:tc>
      </w:tr>
      <w:tr w14:paraId="70B4B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06025DE1">
            <w:pPr>
              <w:pStyle w:val="7"/>
              <w:spacing w:before="229" w:line="188" w:lineRule="auto"/>
              <w:ind w:left="375"/>
            </w:pPr>
            <w:r>
              <w:rPr>
                <w:spacing w:val="-12"/>
              </w:rPr>
              <w:t>53</w:t>
            </w:r>
          </w:p>
        </w:tc>
        <w:tc>
          <w:tcPr>
            <w:tcW w:w="4659" w:type="dxa"/>
            <w:vAlign w:val="top"/>
          </w:tcPr>
          <w:p w14:paraId="525C7201">
            <w:pPr>
              <w:pStyle w:val="7"/>
              <w:spacing w:before="192" w:line="215" w:lineRule="auto"/>
              <w:ind w:left="23"/>
            </w:pPr>
            <w:r>
              <w:rPr>
                <w:b/>
                <w:bCs/>
                <w:spacing w:val="-4"/>
              </w:rPr>
              <w:t>风险加权资产</w:t>
            </w:r>
          </w:p>
        </w:tc>
        <w:tc>
          <w:tcPr>
            <w:tcW w:w="2198" w:type="dxa"/>
            <w:vAlign w:val="top"/>
          </w:tcPr>
          <w:p w14:paraId="0A7D7E32">
            <w:pPr>
              <w:pStyle w:val="7"/>
              <w:spacing w:before="229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16,901,393.06</w:t>
            </w:r>
          </w:p>
        </w:tc>
        <w:tc>
          <w:tcPr>
            <w:tcW w:w="1461" w:type="dxa"/>
            <w:vAlign w:val="top"/>
          </w:tcPr>
          <w:p w14:paraId="6E3CA84F">
            <w:pPr>
              <w:rPr>
                <w:rFonts w:ascii="Arial"/>
                <w:sz w:val="21"/>
              </w:rPr>
            </w:pPr>
          </w:p>
        </w:tc>
      </w:tr>
      <w:tr w14:paraId="2A5A2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6D7B6A01">
            <w:pPr>
              <w:pStyle w:val="7"/>
              <w:spacing w:before="194" w:line="214" w:lineRule="auto"/>
              <w:ind w:left="37"/>
            </w:pPr>
            <w:r>
              <w:rPr>
                <w:b/>
                <w:bCs/>
                <w:spacing w:val="-4"/>
              </w:rPr>
              <w:t>资本充足率和其他各级资本要求</w:t>
            </w:r>
          </w:p>
        </w:tc>
      </w:tr>
      <w:tr w14:paraId="3C51E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36D4224A">
            <w:pPr>
              <w:pStyle w:val="7"/>
              <w:spacing w:before="229" w:line="188" w:lineRule="auto"/>
              <w:ind w:left="375"/>
            </w:pPr>
            <w:r>
              <w:rPr>
                <w:spacing w:val="-12"/>
              </w:rPr>
              <w:t>54</w:t>
            </w:r>
          </w:p>
        </w:tc>
        <w:tc>
          <w:tcPr>
            <w:tcW w:w="4659" w:type="dxa"/>
            <w:vAlign w:val="top"/>
          </w:tcPr>
          <w:p w14:paraId="37E8E271">
            <w:pPr>
              <w:pStyle w:val="7"/>
              <w:spacing w:before="193" w:line="214" w:lineRule="auto"/>
              <w:ind w:left="20"/>
            </w:pPr>
            <w:r>
              <w:rPr>
                <w:b/>
                <w:bCs/>
                <w:spacing w:val="-3"/>
              </w:rPr>
              <w:t>核心一级资本充足率</w:t>
            </w:r>
          </w:p>
        </w:tc>
        <w:tc>
          <w:tcPr>
            <w:tcW w:w="2198" w:type="dxa"/>
            <w:vAlign w:val="top"/>
          </w:tcPr>
          <w:p w14:paraId="1893D626">
            <w:pPr>
              <w:pStyle w:val="7"/>
              <w:spacing w:before="192" w:line="237" w:lineRule="auto"/>
              <w:ind w:right="9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9.90</w:t>
            </w:r>
          </w:p>
        </w:tc>
        <w:tc>
          <w:tcPr>
            <w:tcW w:w="1461" w:type="dxa"/>
            <w:vAlign w:val="top"/>
          </w:tcPr>
          <w:p w14:paraId="2D7F9D68">
            <w:pPr>
              <w:rPr>
                <w:rFonts w:ascii="Arial"/>
                <w:sz w:val="21"/>
              </w:rPr>
            </w:pPr>
          </w:p>
        </w:tc>
      </w:tr>
      <w:tr w14:paraId="2313F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71886440">
            <w:pPr>
              <w:pStyle w:val="7"/>
              <w:spacing w:before="235" w:line="185" w:lineRule="auto"/>
              <w:ind w:left="375"/>
            </w:pPr>
            <w:r>
              <w:rPr>
                <w:spacing w:val="-12"/>
              </w:rPr>
              <w:t>55</w:t>
            </w:r>
          </w:p>
        </w:tc>
        <w:tc>
          <w:tcPr>
            <w:tcW w:w="4659" w:type="dxa"/>
            <w:vAlign w:val="top"/>
          </w:tcPr>
          <w:p w14:paraId="7A4627D0">
            <w:pPr>
              <w:pStyle w:val="7"/>
              <w:spacing w:before="195" w:line="214" w:lineRule="auto"/>
              <w:ind w:left="39"/>
            </w:pPr>
            <w:r>
              <w:rPr>
                <w:b/>
                <w:bCs/>
                <w:spacing w:val="-6"/>
              </w:rPr>
              <w:t>一级资本充足率</w:t>
            </w:r>
          </w:p>
        </w:tc>
        <w:tc>
          <w:tcPr>
            <w:tcW w:w="2198" w:type="dxa"/>
            <w:vAlign w:val="top"/>
          </w:tcPr>
          <w:p w14:paraId="581517EB">
            <w:pPr>
              <w:pStyle w:val="7"/>
              <w:spacing w:before="194" w:line="237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11.75</w:t>
            </w:r>
          </w:p>
        </w:tc>
        <w:tc>
          <w:tcPr>
            <w:tcW w:w="1461" w:type="dxa"/>
            <w:vAlign w:val="top"/>
          </w:tcPr>
          <w:p w14:paraId="008DB5CB">
            <w:pPr>
              <w:rPr>
                <w:rFonts w:ascii="Arial"/>
                <w:sz w:val="21"/>
              </w:rPr>
            </w:pPr>
          </w:p>
        </w:tc>
      </w:tr>
      <w:tr w14:paraId="0A45A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14B23F32">
            <w:pPr>
              <w:pStyle w:val="7"/>
              <w:spacing w:before="230" w:line="188" w:lineRule="auto"/>
              <w:ind w:left="375"/>
            </w:pPr>
            <w:r>
              <w:rPr>
                <w:spacing w:val="-12"/>
              </w:rPr>
              <w:t>56</w:t>
            </w:r>
          </w:p>
        </w:tc>
        <w:tc>
          <w:tcPr>
            <w:tcW w:w="4659" w:type="dxa"/>
            <w:vAlign w:val="top"/>
          </w:tcPr>
          <w:p w14:paraId="418B66CC">
            <w:pPr>
              <w:pStyle w:val="7"/>
              <w:spacing w:before="194" w:line="214" w:lineRule="auto"/>
              <w:ind w:left="34"/>
            </w:pPr>
            <w:r>
              <w:rPr>
                <w:b/>
                <w:bCs/>
                <w:spacing w:val="-7"/>
              </w:rPr>
              <w:t>资本充足率</w:t>
            </w:r>
          </w:p>
        </w:tc>
        <w:tc>
          <w:tcPr>
            <w:tcW w:w="2198" w:type="dxa"/>
            <w:vAlign w:val="top"/>
          </w:tcPr>
          <w:p w14:paraId="258D6C18">
            <w:pPr>
              <w:pStyle w:val="7"/>
              <w:spacing w:before="193" w:line="237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12.27</w:t>
            </w:r>
          </w:p>
        </w:tc>
        <w:tc>
          <w:tcPr>
            <w:tcW w:w="1461" w:type="dxa"/>
            <w:vAlign w:val="top"/>
          </w:tcPr>
          <w:p w14:paraId="029B70A9">
            <w:pPr>
              <w:rPr>
                <w:rFonts w:ascii="Arial"/>
                <w:sz w:val="21"/>
              </w:rPr>
            </w:pPr>
          </w:p>
        </w:tc>
      </w:tr>
      <w:tr w14:paraId="2A75A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0AB0B4A8">
            <w:pPr>
              <w:pStyle w:val="7"/>
              <w:spacing w:before="233" w:line="185" w:lineRule="auto"/>
              <w:ind w:left="375"/>
            </w:pPr>
            <w:r>
              <w:rPr>
                <w:spacing w:val="-12"/>
              </w:rPr>
              <w:t>57</w:t>
            </w:r>
          </w:p>
        </w:tc>
        <w:tc>
          <w:tcPr>
            <w:tcW w:w="4659" w:type="dxa"/>
            <w:vAlign w:val="top"/>
          </w:tcPr>
          <w:p w14:paraId="1BFDD4AF">
            <w:pPr>
              <w:pStyle w:val="7"/>
              <w:spacing w:before="192" w:line="215" w:lineRule="auto"/>
              <w:ind w:left="21"/>
            </w:pPr>
            <w:r>
              <w:rPr>
                <w:b/>
                <w:bCs/>
                <w:spacing w:val="-4"/>
              </w:rPr>
              <w:t>其他各级资本要求（%）</w:t>
            </w:r>
          </w:p>
        </w:tc>
        <w:tc>
          <w:tcPr>
            <w:tcW w:w="2198" w:type="dxa"/>
            <w:vAlign w:val="top"/>
          </w:tcPr>
          <w:p w14:paraId="70A1F5AE">
            <w:pPr>
              <w:pStyle w:val="7"/>
              <w:spacing w:before="229" w:line="188" w:lineRule="auto"/>
              <w:ind w:right="8"/>
              <w:jc w:val="right"/>
            </w:pPr>
            <w:r>
              <w:rPr>
                <w:spacing w:val="-6"/>
              </w:rPr>
              <w:t>2.50</w:t>
            </w:r>
          </w:p>
        </w:tc>
        <w:tc>
          <w:tcPr>
            <w:tcW w:w="1461" w:type="dxa"/>
            <w:vAlign w:val="top"/>
          </w:tcPr>
          <w:p w14:paraId="3C31DB3A">
            <w:pPr>
              <w:rPr>
                <w:rFonts w:ascii="Arial"/>
                <w:sz w:val="21"/>
              </w:rPr>
            </w:pPr>
          </w:p>
        </w:tc>
      </w:tr>
      <w:tr w14:paraId="5E4BF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07013150">
            <w:pPr>
              <w:pStyle w:val="7"/>
              <w:spacing w:before="230" w:line="188" w:lineRule="auto"/>
              <w:ind w:left="375"/>
            </w:pPr>
            <w:r>
              <w:rPr>
                <w:spacing w:val="-12"/>
              </w:rPr>
              <w:t>58</w:t>
            </w:r>
          </w:p>
        </w:tc>
        <w:tc>
          <w:tcPr>
            <w:tcW w:w="4659" w:type="dxa"/>
            <w:vAlign w:val="top"/>
          </w:tcPr>
          <w:p w14:paraId="365080EF">
            <w:pPr>
              <w:pStyle w:val="7"/>
              <w:spacing w:before="194" w:line="214" w:lineRule="auto"/>
              <w:ind w:left="581"/>
            </w:pPr>
            <w:r>
              <w:rPr>
                <w:spacing w:val="-2"/>
              </w:rPr>
              <w:t>其中：储备资本要求</w:t>
            </w:r>
          </w:p>
        </w:tc>
        <w:tc>
          <w:tcPr>
            <w:tcW w:w="2198" w:type="dxa"/>
            <w:vAlign w:val="top"/>
          </w:tcPr>
          <w:p w14:paraId="7AF73D0F">
            <w:pPr>
              <w:pStyle w:val="7"/>
              <w:spacing w:before="230" w:line="188" w:lineRule="auto"/>
              <w:ind w:right="8"/>
              <w:jc w:val="right"/>
            </w:pPr>
            <w:r>
              <w:rPr>
                <w:spacing w:val="-6"/>
              </w:rPr>
              <w:t>2.50</w:t>
            </w:r>
          </w:p>
        </w:tc>
        <w:tc>
          <w:tcPr>
            <w:tcW w:w="1461" w:type="dxa"/>
            <w:vAlign w:val="top"/>
          </w:tcPr>
          <w:p w14:paraId="497DA50F">
            <w:pPr>
              <w:rPr>
                <w:rFonts w:ascii="Arial"/>
                <w:sz w:val="21"/>
              </w:rPr>
            </w:pPr>
          </w:p>
        </w:tc>
      </w:tr>
      <w:tr w14:paraId="4CED7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85" w:type="dxa"/>
            <w:vAlign w:val="top"/>
          </w:tcPr>
          <w:p w14:paraId="204EDCD9">
            <w:pPr>
              <w:pStyle w:val="7"/>
              <w:spacing w:before="229" w:line="188" w:lineRule="auto"/>
              <w:ind w:left="375"/>
            </w:pPr>
            <w:r>
              <w:rPr>
                <w:spacing w:val="-12"/>
              </w:rPr>
              <w:t>59</w:t>
            </w:r>
          </w:p>
        </w:tc>
        <w:tc>
          <w:tcPr>
            <w:tcW w:w="4659" w:type="dxa"/>
            <w:vAlign w:val="top"/>
          </w:tcPr>
          <w:p w14:paraId="419B16DC">
            <w:pPr>
              <w:pStyle w:val="7"/>
              <w:spacing w:before="193" w:line="214" w:lineRule="auto"/>
              <w:ind w:left="581"/>
            </w:pPr>
            <w:r>
              <w:rPr>
                <w:spacing w:val="-2"/>
              </w:rPr>
              <w:t>其中：逆周期资本要求</w:t>
            </w:r>
          </w:p>
        </w:tc>
        <w:tc>
          <w:tcPr>
            <w:tcW w:w="2198" w:type="dxa"/>
            <w:vAlign w:val="top"/>
          </w:tcPr>
          <w:p w14:paraId="42AE0A0C">
            <w:pPr>
              <w:pStyle w:val="7"/>
              <w:spacing w:before="322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6B569D9C">
            <w:pPr>
              <w:rPr>
                <w:rFonts w:ascii="Arial"/>
                <w:sz w:val="21"/>
              </w:rPr>
            </w:pPr>
          </w:p>
        </w:tc>
      </w:tr>
    </w:tbl>
    <w:p w14:paraId="159DE7D0">
      <w:pPr>
        <w:rPr>
          <w:rFonts w:ascii="Arial"/>
          <w:sz w:val="21"/>
        </w:rPr>
      </w:pPr>
    </w:p>
    <w:p w14:paraId="784F552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99" w:bottom="0" w:left="1298" w:header="0" w:footer="0" w:gutter="0"/>
          <w:cols w:space="720" w:num="1"/>
        </w:sectPr>
      </w:pPr>
    </w:p>
    <w:p w14:paraId="16441088">
      <w:pPr>
        <w:spacing w:line="91" w:lineRule="auto"/>
        <w:rPr>
          <w:rFonts w:ascii="Arial"/>
          <w:sz w:val="2"/>
        </w:rPr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659"/>
        <w:gridCol w:w="2198"/>
        <w:gridCol w:w="1461"/>
      </w:tblGrid>
      <w:tr w14:paraId="4BA95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985" w:type="dxa"/>
            <w:vAlign w:val="top"/>
          </w:tcPr>
          <w:p w14:paraId="75B6090B">
            <w:pPr>
              <w:spacing w:line="447" w:lineRule="auto"/>
              <w:rPr>
                <w:rFonts w:ascii="Arial"/>
                <w:sz w:val="21"/>
              </w:rPr>
            </w:pPr>
          </w:p>
          <w:p w14:paraId="28F1C537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60</w:t>
            </w:r>
          </w:p>
        </w:tc>
        <w:tc>
          <w:tcPr>
            <w:tcW w:w="4659" w:type="dxa"/>
            <w:vAlign w:val="top"/>
          </w:tcPr>
          <w:p w14:paraId="19642006">
            <w:pPr>
              <w:pStyle w:val="7"/>
              <w:spacing w:before="191" w:line="353" w:lineRule="auto"/>
              <w:ind w:left="35" w:right="10" w:firstLine="546"/>
            </w:pPr>
            <w:r>
              <w:rPr>
                <w:spacing w:val="-10"/>
              </w:rPr>
              <w:t>其中：全球系统重要性银行或国内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系统重要性银行附加资本要求</w:t>
            </w:r>
          </w:p>
        </w:tc>
        <w:tc>
          <w:tcPr>
            <w:tcW w:w="2198" w:type="dxa"/>
            <w:shd w:val="clear" w:color="auto" w:fill="BEBEBE"/>
            <w:vAlign w:val="top"/>
          </w:tcPr>
          <w:p w14:paraId="2081E62A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1D5C412D">
            <w:pPr>
              <w:rPr>
                <w:rFonts w:ascii="Arial"/>
                <w:sz w:val="21"/>
              </w:rPr>
            </w:pPr>
          </w:p>
        </w:tc>
      </w:tr>
      <w:tr w14:paraId="4F602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985" w:type="dxa"/>
            <w:vAlign w:val="top"/>
          </w:tcPr>
          <w:p w14:paraId="57C01042">
            <w:pPr>
              <w:spacing w:line="444" w:lineRule="auto"/>
              <w:rPr>
                <w:rFonts w:ascii="Arial"/>
                <w:sz w:val="21"/>
              </w:rPr>
            </w:pPr>
          </w:p>
          <w:p w14:paraId="0C997184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61</w:t>
            </w:r>
          </w:p>
        </w:tc>
        <w:tc>
          <w:tcPr>
            <w:tcW w:w="4659" w:type="dxa"/>
            <w:vAlign w:val="top"/>
          </w:tcPr>
          <w:p w14:paraId="2D471D51">
            <w:pPr>
              <w:pStyle w:val="7"/>
              <w:spacing w:before="190" w:line="352" w:lineRule="auto"/>
              <w:ind w:left="34" w:right="6"/>
            </w:pPr>
            <w:r>
              <w:rPr>
                <w:b/>
                <w:bCs/>
                <w:spacing w:val="5"/>
              </w:rPr>
              <w:t>满足最低资本要求后的可用核心一级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-4"/>
              </w:rPr>
              <w:t>资本净额占风险加权资产的比例（%）</w:t>
            </w:r>
          </w:p>
        </w:tc>
        <w:tc>
          <w:tcPr>
            <w:tcW w:w="2198" w:type="dxa"/>
            <w:vAlign w:val="top"/>
          </w:tcPr>
          <w:p w14:paraId="007EB644">
            <w:pPr>
              <w:spacing w:line="444" w:lineRule="auto"/>
              <w:rPr>
                <w:rFonts w:ascii="Arial"/>
                <w:sz w:val="21"/>
              </w:rPr>
            </w:pPr>
          </w:p>
          <w:p w14:paraId="69EBC605">
            <w:pPr>
              <w:pStyle w:val="7"/>
              <w:spacing w:before="9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4.90</w:t>
            </w:r>
          </w:p>
        </w:tc>
        <w:tc>
          <w:tcPr>
            <w:tcW w:w="1461" w:type="dxa"/>
            <w:vAlign w:val="top"/>
          </w:tcPr>
          <w:p w14:paraId="14F12B64">
            <w:pPr>
              <w:rPr>
                <w:rFonts w:ascii="Arial"/>
                <w:sz w:val="21"/>
              </w:rPr>
            </w:pPr>
          </w:p>
        </w:tc>
      </w:tr>
      <w:tr w14:paraId="5419F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3D536A69">
            <w:pPr>
              <w:pStyle w:val="7"/>
              <w:spacing w:before="189" w:line="214" w:lineRule="auto"/>
              <w:ind w:left="40"/>
            </w:pPr>
            <w:r>
              <w:rPr>
                <w:b/>
                <w:bCs/>
                <w:spacing w:val="-5"/>
              </w:rPr>
              <w:t>我国最低监管资本要求</w:t>
            </w:r>
          </w:p>
        </w:tc>
      </w:tr>
      <w:tr w14:paraId="043A5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7D1FE677">
            <w:pPr>
              <w:pStyle w:val="7"/>
              <w:spacing w:before="226" w:line="188" w:lineRule="auto"/>
              <w:ind w:left="374"/>
            </w:pPr>
            <w:r>
              <w:rPr>
                <w:spacing w:val="-12"/>
              </w:rPr>
              <w:t>62</w:t>
            </w:r>
          </w:p>
        </w:tc>
        <w:tc>
          <w:tcPr>
            <w:tcW w:w="4659" w:type="dxa"/>
            <w:vAlign w:val="top"/>
          </w:tcPr>
          <w:p w14:paraId="2EBD69D3">
            <w:pPr>
              <w:pStyle w:val="7"/>
              <w:spacing w:before="190" w:line="214" w:lineRule="auto"/>
              <w:ind w:left="20"/>
            </w:pPr>
            <w:r>
              <w:rPr>
                <w:spacing w:val="-1"/>
              </w:rPr>
              <w:t>核心一级资本充足率</w:t>
            </w:r>
          </w:p>
        </w:tc>
        <w:tc>
          <w:tcPr>
            <w:tcW w:w="2198" w:type="dxa"/>
            <w:vAlign w:val="top"/>
          </w:tcPr>
          <w:p w14:paraId="3AEC0C28">
            <w:pPr>
              <w:pStyle w:val="7"/>
              <w:spacing w:before="189" w:line="237" w:lineRule="auto"/>
              <w:ind w:right="9"/>
              <w:jc w:val="right"/>
            </w:pPr>
            <w:r>
              <w:rPr>
                <w:spacing w:val="-5"/>
              </w:rPr>
              <w:t>5.00</w:t>
            </w:r>
          </w:p>
        </w:tc>
        <w:tc>
          <w:tcPr>
            <w:tcW w:w="1461" w:type="dxa"/>
            <w:vAlign w:val="top"/>
          </w:tcPr>
          <w:p w14:paraId="486CD41F">
            <w:pPr>
              <w:rPr>
                <w:rFonts w:ascii="Arial"/>
                <w:sz w:val="21"/>
              </w:rPr>
            </w:pPr>
          </w:p>
        </w:tc>
      </w:tr>
      <w:tr w14:paraId="419C2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37E8754F">
            <w:pPr>
              <w:pStyle w:val="7"/>
              <w:spacing w:before="225" w:line="188" w:lineRule="auto"/>
              <w:ind w:left="374"/>
            </w:pPr>
            <w:r>
              <w:rPr>
                <w:spacing w:val="-12"/>
              </w:rPr>
              <w:t>63</w:t>
            </w:r>
          </w:p>
        </w:tc>
        <w:tc>
          <w:tcPr>
            <w:tcW w:w="4659" w:type="dxa"/>
            <w:vAlign w:val="top"/>
          </w:tcPr>
          <w:p w14:paraId="6BBB65DD">
            <w:pPr>
              <w:pStyle w:val="7"/>
              <w:spacing w:before="189" w:line="214" w:lineRule="auto"/>
              <w:ind w:left="39"/>
            </w:pPr>
            <w:r>
              <w:rPr>
                <w:spacing w:val="-4"/>
              </w:rPr>
              <w:t>一级资本充足率</w:t>
            </w:r>
          </w:p>
        </w:tc>
        <w:tc>
          <w:tcPr>
            <w:tcW w:w="2198" w:type="dxa"/>
            <w:vAlign w:val="top"/>
          </w:tcPr>
          <w:p w14:paraId="39DC3629">
            <w:pPr>
              <w:pStyle w:val="7"/>
              <w:spacing w:before="188" w:line="237" w:lineRule="auto"/>
              <w:ind w:right="9"/>
              <w:jc w:val="right"/>
            </w:pPr>
            <w:r>
              <w:rPr>
                <w:spacing w:val="-5"/>
              </w:rPr>
              <w:t>6.00</w:t>
            </w:r>
          </w:p>
        </w:tc>
        <w:tc>
          <w:tcPr>
            <w:tcW w:w="1461" w:type="dxa"/>
            <w:vAlign w:val="top"/>
          </w:tcPr>
          <w:p w14:paraId="2E8F4C34">
            <w:pPr>
              <w:rPr>
                <w:rFonts w:ascii="Arial"/>
                <w:sz w:val="21"/>
              </w:rPr>
            </w:pPr>
          </w:p>
        </w:tc>
      </w:tr>
      <w:tr w14:paraId="2D225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85" w:type="dxa"/>
            <w:vAlign w:val="top"/>
          </w:tcPr>
          <w:p w14:paraId="4AE6075E">
            <w:pPr>
              <w:pStyle w:val="7"/>
              <w:spacing w:before="227" w:line="188" w:lineRule="auto"/>
              <w:ind w:left="374"/>
            </w:pPr>
            <w:r>
              <w:rPr>
                <w:spacing w:val="-12"/>
              </w:rPr>
              <w:t>64</w:t>
            </w:r>
          </w:p>
        </w:tc>
        <w:tc>
          <w:tcPr>
            <w:tcW w:w="4659" w:type="dxa"/>
            <w:vAlign w:val="top"/>
          </w:tcPr>
          <w:p w14:paraId="1DF81F1D">
            <w:pPr>
              <w:pStyle w:val="7"/>
              <w:spacing w:before="191" w:line="214" w:lineRule="auto"/>
              <w:ind w:left="34"/>
            </w:pPr>
            <w:r>
              <w:rPr>
                <w:spacing w:val="-5"/>
              </w:rPr>
              <w:t>资本充足率</w:t>
            </w:r>
          </w:p>
        </w:tc>
        <w:tc>
          <w:tcPr>
            <w:tcW w:w="2198" w:type="dxa"/>
            <w:vAlign w:val="top"/>
          </w:tcPr>
          <w:p w14:paraId="0665B792">
            <w:pPr>
              <w:pStyle w:val="7"/>
              <w:spacing w:before="190" w:line="237" w:lineRule="auto"/>
              <w:ind w:right="9"/>
              <w:jc w:val="right"/>
            </w:pPr>
            <w:r>
              <w:rPr>
                <w:spacing w:val="-5"/>
              </w:rPr>
              <w:t>8.00</w:t>
            </w:r>
          </w:p>
        </w:tc>
        <w:tc>
          <w:tcPr>
            <w:tcW w:w="1461" w:type="dxa"/>
            <w:vAlign w:val="top"/>
          </w:tcPr>
          <w:p w14:paraId="798194A5">
            <w:pPr>
              <w:rPr>
                <w:rFonts w:ascii="Arial"/>
                <w:sz w:val="21"/>
              </w:rPr>
            </w:pPr>
          </w:p>
        </w:tc>
      </w:tr>
      <w:tr w14:paraId="6791A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5A8E4820">
            <w:pPr>
              <w:pStyle w:val="7"/>
              <w:spacing w:before="190" w:line="214" w:lineRule="auto"/>
              <w:ind w:left="57"/>
            </w:pPr>
            <w:r>
              <w:rPr>
                <w:b/>
                <w:bCs/>
                <w:spacing w:val="-6"/>
              </w:rPr>
              <w:t>门槛扣除项中未扣除部分</w:t>
            </w:r>
          </w:p>
        </w:tc>
      </w:tr>
      <w:tr w14:paraId="01B1D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669B1C7F">
            <w:pPr>
              <w:spacing w:line="443" w:lineRule="auto"/>
              <w:rPr>
                <w:rFonts w:ascii="Arial"/>
                <w:sz w:val="21"/>
              </w:rPr>
            </w:pPr>
          </w:p>
          <w:p w14:paraId="49C61B12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65</w:t>
            </w:r>
          </w:p>
        </w:tc>
        <w:tc>
          <w:tcPr>
            <w:tcW w:w="4659" w:type="dxa"/>
            <w:vAlign w:val="top"/>
          </w:tcPr>
          <w:p w14:paraId="61C73AB4">
            <w:pPr>
              <w:pStyle w:val="7"/>
              <w:spacing w:before="189" w:line="352" w:lineRule="auto"/>
              <w:ind w:left="33" w:right="10" w:hanging="6"/>
            </w:pPr>
            <w:r>
              <w:rPr>
                <w:spacing w:val="8"/>
              </w:rPr>
              <w:t>对未并表金融机构的小额少数资本投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资中未扣除部分</w:t>
            </w:r>
          </w:p>
        </w:tc>
        <w:tc>
          <w:tcPr>
            <w:tcW w:w="2198" w:type="dxa"/>
            <w:vAlign w:val="top"/>
          </w:tcPr>
          <w:p w14:paraId="017DF9E7">
            <w:pPr>
              <w:spacing w:line="443" w:lineRule="auto"/>
              <w:rPr>
                <w:rFonts w:ascii="Arial"/>
                <w:sz w:val="21"/>
              </w:rPr>
            </w:pPr>
          </w:p>
          <w:p w14:paraId="7BB63622">
            <w:pPr>
              <w:pStyle w:val="7"/>
              <w:spacing w:before="91" w:line="188" w:lineRule="auto"/>
              <w:ind w:right="8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73,558.47</w:t>
            </w:r>
          </w:p>
        </w:tc>
        <w:tc>
          <w:tcPr>
            <w:tcW w:w="1461" w:type="dxa"/>
            <w:vAlign w:val="top"/>
          </w:tcPr>
          <w:p w14:paraId="2898E2BE">
            <w:pPr>
              <w:rPr>
                <w:rFonts w:ascii="Arial"/>
                <w:sz w:val="21"/>
              </w:rPr>
            </w:pPr>
          </w:p>
        </w:tc>
      </w:tr>
      <w:tr w14:paraId="172CD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7A50CEDE">
            <w:pPr>
              <w:spacing w:line="445" w:lineRule="auto"/>
              <w:rPr>
                <w:rFonts w:ascii="Arial"/>
                <w:sz w:val="21"/>
              </w:rPr>
            </w:pPr>
          </w:p>
          <w:p w14:paraId="3A3BD5A3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66</w:t>
            </w:r>
          </w:p>
        </w:tc>
        <w:tc>
          <w:tcPr>
            <w:tcW w:w="4659" w:type="dxa"/>
            <w:vAlign w:val="top"/>
          </w:tcPr>
          <w:p w14:paraId="2FC496C7">
            <w:pPr>
              <w:pStyle w:val="7"/>
              <w:spacing w:before="192" w:line="351" w:lineRule="auto"/>
              <w:ind w:left="33" w:right="10" w:hanging="6"/>
            </w:pPr>
            <w:r>
              <w:rPr>
                <w:spacing w:val="8"/>
              </w:rPr>
              <w:t>对未并表金融机构的大额少数资本投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资中未扣除部分</w:t>
            </w:r>
          </w:p>
        </w:tc>
        <w:tc>
          <w:tcPr>
            <w:tcW w:w="2198" w:type="dxa"/>
            <w:vAlign w:val="top"/>
          </w:tcPr>
          <w:p w14:paraId="27858676">
            <w:pPr>
              <w:spacing w:line="269" w:lineRule="auto"/>
              <w:rPr>
                <w:rFonts w:ascii="Arial"/>
                <w:sz w:val="21"/>
              </w:rPr>
            </w:pPr>
          </w:p>
          <w:p w14:paraId="6EC5360B">
            <w:pPr>
              <w:spacing w:line="269" w:lineRule="auto"/>
              <w:rPr>
                <w:rFonts w:ascii="Arial"/>
                <w:sz w:val="21"/>
              </w:rPr>
            </w:pPr>
          </w:p>
          <w:p w14:paraId="3E328A11">
            <w:pPr>
              <w:pStyle w:val="7"/>
              <w:spacing w:before="91" w:line="192" w:lineRule="exact"/>
              <w:ind w:right="1"/>
              <w:jc w:val="right"/>
            </w:pPr>
            <w:r>
              <w:rPr>
                <w:position w:val="-4"/>
              </w:rPr>
              <w:t>-</w:t>
            </w:r>
          </w:p>
        </w:tc>
        <w:tc>
          <w:tcPr>
            <w:tcW w:w="1461" w:type="dxa"/>
            <w:vAlign w:val="top"/>
          </w:tcPr>
          <w:p w14:paraId="4ADFC26C">
            <w:pPr>
              <w:rPr>
                <w:rFonts w:ascii="Arial"/>
                <w:sz w:val="21"/>
              </w:rPr>
            </w:pPr>
          </w:p>
        </w:tc>
      </w:tr>
      <w:tr w14:paraId="4F1FC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1DD71E0F">
            <w:pPr>
              <w:spacing w:line="445" w:lineRule="auto"/>
              <w:rPr>
                <w:rFonts w:ascii="Arial"/>
                <w:sz w:val="21"/>
              </w:rPr>
            </w:pPr>
          </w:p>
          <w:p w14:paraId="3AE73A62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67</w:t>
            </w:r>
          </w:p>
        </w:tc>
        <w:tc>
          <w:tcPr>
            <w:tcW w:w="4659" w:type="dxa"/>
            <w:vAlign w:val="top"/>
          </w:tcPr>
          <w:p w14:paraId="74B37C59">
            <w:pPr>
              <w:pStyle w:val="7"/>
              <w:spacing w:before="192" w:line="351" w:lineRule="auto"/>
              <w:ind w:left="33" w:right="10" w:hanging="12"/>
            </w:pPr>
            <w:r>
              <w:rPr>
                <w:spacing w:val="8"/>
              </w:rPr>
              <w:t>其他依赖于银行未来盈利的净递延税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资产（扣除递延税负债）</w:t>
            </w:r>
          </w:p>
        </w:tc>
        <w:tc>
          <w:tcPr>
            <w:tcW w:w="2198" w:type="dxa"/>
            <w:vAlign w:val="top"/>
          </w:tcPr>
          <w:p w14:paraId="70B611D3">
            <w:pPr>
              <w:spacing w:line="445" w:lineRule="auto"/>
              <w:rPr>
                <w:rFonts w:ascii="Arial"/>
                <w:sz w:val="21"/>
              </w:rPr>
            </w:pPr>
          </w:p>
          <w:p w14:paraId="2D694471">
            <w:pPr>
              <w:pStyle w:val="7"/>
              <w:spacing w:before="91" w:line="188" w:lineRule="auto"/>
              <w:ind w:right="8"/>
              <w:jc w:val="right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  <w:tc>
          <w:tcPr>
            <w:tcW w:w="1461" w:type="dxa"/>
            <w:vAlign w:val="top"/>
          </w:tcPr>
          <w:p w14:paraId="6DF1BE32">
            <w:pPr>
              <w:rPr>
                <w:rFonts w:ascii="Arial"/>
                <w:sz w:val="21"/>
              </w:rPr>
            </w:pPr>
          </w:p>
        </w:tc>
      </w:tr>
      <w:tr w14:paraId="18FCA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03" w:type="dxa"/>
            <w:gridSpan w:val="4"/>
            <w:shd w:val="clear" w:color="auto" w:fill="BFBFBF"/>
            <w:vAlign w:val="top"/>
          </w:tcPr>
          <w:p w14:paraId="5035E83D">
            <w:pPr>
              <w:pStyle w:val="7"/>
              <w:spacing w:before="193" w:line="215" w:lineRule="auto"/>
              <w:ind w:left="37"/>
            </w:pPr>
            <w:r>
              <w:rPr>
                <w:b/>
                <w:bCs/>
                <w:spacing w:val="-4"/>
              </w:rPr>
              <w:t>可计入二级资本的超额损失准备的限额</w:t>
            </w:r>
          </w:p>
        </w:tc>
      </w:tr>
      <w:tr w14:paraId="7F6AB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85" w:type="dxa"/>
            <w:vAlign w:val="top"/>
          </w:tcPr>
          <w:p w14:paraId="4E33FA39">
            <w:pPr>
              <w:spacing w:line="447" w:lineRule="auto"/>
              <w:rPr>
                <w:rFonts w:ascii="Arial"/>
                <w:sz w:val="21"/>
              </w:rPr>
            </w:pPr>
          </w:p>
          <w:p w14:paraId="0A0D2D2A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68</w:t>
            </w:r>
          </w:p>
        </w:tc>
        <w:tc>
          <w:tcPr>
            <w:tcW w:w="4659" w:type="dxa"/>
            <w:vAlign w:val="top"/>
          </w:tcPr>
          <w:p w14:paraId="1D7F7EA4">
            <w:pPr>
              <w:pStyle w:val="7"/>
              <w:spacing w:before="192" w:line="351" w:lineRule="auto"/>
              <w:ind w:left="28" w:right="10"/>
            </w:pPr>
            <w:r>
              <w:rPr>
                <w:spacing w:val="-9"/>
              </w:rPr>
              <w:t>权重法下，实际计提的超额损失准备金</w:t>
            </w:r>
            <w:r>
              <w:rPr>
                <w:spacing w:val="6"/>
              </w:rPr>
              <w:t xml:space="preserve"> </w:t>
            </w:r>
            <w:r>
              <w:t>额</w:t>
            </w:r>
          </w:p>
        </w:tc>
        <w:tc>
          <w:tcPr>
            <w:tcW w:w="2198" w:type="dxa"/>
            <w:vAlign w:val="center"/>
          </w:tcPr>
          <w:p w14:paraId="2BFC6565">
            <w:pPr>
              <w:pStyle w:val="7"/>
              <w:spacing w:before="91" w:line="188" w:lineRule="auto"/>
              <w:ind w:right="8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61,914.92</w:t>
            </w:r>
          </w:p>
        </w:tc>
        <w:tc>
          <w:tcPr>
            <w:tcW w:w="1461" w:type="dxa"/>
            <w:vAlign w:val="center"/>
          </w:tcPr>
          <w:p w14:paraId="6964AB87">
            <w:pPr>
              <w:pStyle w:val="7"/>
              <w:spacing w:before="91" w:line="188" w:lineRule="auto"/>
              <w:ind w:right="8"/>
              <w:jc w:val="right"/>
              <w:rPr>
                <w:rFonts w:hint="eastAsia"/>
                <w:lang w:val="en-US" w:eastAsia="zh-CN"/>
              </w:rPr>
            </w:pPr>
          </w:p>
        </w:tc>
      </w:tr>
      <w:tr w14:paraId="34557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985" w:type="dxa"/>
            <w:vAlign w:val="top"/>
          </w:tcPr>
          <w:p w14:paraId="1CD2A513">
            <w:pPr>
              <w:spacing w:line="447" w:lineRule="auto"/>
              <w:rPr>
                <w:rFonts w:ascii="Arial"/>
                <w:sz w:val="21"/>
              </w:rPr>
            </w:pPr>
          </w:p>
          <w:p w14:paraId="3D4BF0DD">
            <w:pPr>
              <w:pStyle w:val="7"/>
              <w:spacing w:before="91" w:line="188" w:lineRule="auto"/>
              <w:ind w:left="374"/>
            </w:pPr>
            <w:r>
              <w:rPr>
                <w:spacing w:val="-12"/>
              </w:rPr>
              <w:t>69</w:t>
            </w:r>
          </w:p>
        </w:tc>
        <w:tc>
          <w:tcPr>
            <w:tcW w:w="4659" w:type="dxa"/>
            <w:vAlign w:val="top"/>
          </w:tcPr>
          <w:p w14:paraId="3F7153F3">
            <w:pPr>
              <w:pStyle w:val="7"/>
              <w:spacing w:before="191" w:line="353" w:lineRule="auto"/>
              <w:ind w:left="25" w:right="10" w:firstLine="3"/>
            </w:pPr>
            <w:r>
              <w:rPr>
                <w:spacing w:val="-9"/>
              </w:rPr>
              <w:t>权重法下，可计入二级资本超额损失准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备的数额</w:t>
            </w:r>
          </w:p>
        </w:tc>
        <w:tc>
          <w:tcPr>
            <w:tcW w:w="2198" w:type="dxa"/>
            <w:vAlign w:val="center"/>
          </w:tcPr>
          <w:p w14:paraId="1DE559A0">
            <w:pPr>
              <w:pStyle w:val="7"/>
              <w:spacing w:before="91" w:line="188" w:lineRule="auto"/>
              <w:ind w:right="8" w:rightChars="0"/>
              <w:jc w:val="right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61,914.92</w:t>
            </w:r>
          </w:p>
        </w:tc>
        <w:tc>
          <w:tcPr>
            <w:tcW w:w="1461" w:type="dxa"/>
            <w:vAlign w:val="center"/>
          </w:tcPr>
          <w:p w14:paraId="39003351">
            <w:pPr>
              <w:jc w:val="right"/>
              <w:rPr>
                <w:rFonts w:ascii="Arial"/>
                <w:sz w:val="21"/>
              </w:rPr>
            </w:pPr>
          </w:p>
        </w:tc>
      </w:tr>
    </w:tbl>
    <w:p w14:paraId="1F918235">
      <w:pPr>
        <w:rPr>
          <w:rFonts w:ascii="Arial"/>
          <w:sz w:val="21"/>
        </w:rPr>
      </w:pPr>
    </w:p>
    <w:sectPr>
      <w:pgSz w:w="11906" w:h="16839"/>
      <w:pgMar w:top="1431" w:right="1299" w:bottom="0" w:left="12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14546">
    <w:pPr>
      <w:pStyle w:val="3"/>
    </w:pPr>
  </w:p>
  <w:p w14:paraId="740C4981">
    <w:pPr>
      <w:pStyle w:val="3"/>
    </w:pPr>
  </w:p>
  <w:p w14:paraId="1DC9CAA9">
    <w:pPr>
      <w:pStyle w:val="3"/>
    </w:pPr>
  </w:p>
  <w:p w14:paraId="3958DCFD">
    <w:pPr>
      <w:pStyle w:val="3"/>
    </w:pPr>
  </w:p>
  <w:p w14:paraId="0D706474">
    <w:pPr>
      <w:pStyle w:val="3"/>
    </w:pPr>
  </w:p>
  <w:p w14:paraId="72662474">
    <w:pPr>
      <w:pStyle w:val="3"/>
      <w:jc w:val="right"/>
      <w:rPr>
        <w:rFonts w:hint="eastAsia" w:ascii="楷体_GB2312" w:eastAsia="楷体_GB2312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0B49A0"/>
    <w:rsid w:val="02366456"/>
    <w:rsid w:val="041C56D2"/>
    <w:rsid w:val="07BA7573"/>
    <w:rsid w:val="0BA253D8"/>
    <w:rsid w:val="1A5D7BB2"/>
    <w:rsid w:val="23E04A56"/>
    <w:rsid w:val="23E17175"/>
    <w:rsid w:val="37A66D2E"/>
    <w:rsid w:val="456D4382"/>
    <w:rsid w:val="4AF22E72"/>
    <w:rsid w:val="4AFF56F7"/>
    <w:rsid w:val="5D0032D3"/>
    <w:rsid w:val="6A411D90"/>
    <w:rsid w:val="6B6561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34</TotalTime>
  <ScaleCrop>false</ScaleCrop>
  <LinksUpToDate>false</LinksUpToDate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2024-08-16T14:38:00Z</dcterms:created>
  <dc:creator>wanghuimin_01</dc:creator>
  <cp:lastModifiedBy>王馨</cp:lastModifiedBy>
  <dcterms:modified xsi:type="dcterms:W3CDTF">2026-08-24T06:11:49Z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2024-08-30T16:37:04Z</vt:filetime>
  </property>
  <property fmtid="{D5CDD505-2E9C-101B-9397-08002B2CF9AE}" pid="4" name="KSOProductBuildVer">
    <vt:lpwstr>2052-12.1.0.23125</vt:lpwstr>
  </property>
  <property fmtid="{D5CDD505-2E9C-101B-9397-08002B2CF9AE}" pid="5" name="ICV">
    <vt:lpwstr>505E23D71B1F4B3587CB6D1273787206_13</vt:lpwstr>
  </property>
</Properties>
</file>