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sz w:val="28"/>
          <w:szCs w:val="28"/>
          <w:highlight w:val="none"/>
        </w:rPr>
      </w:pPr>
      <w:bookmarkStart w:id="0" w:name="_GoBack"/>
      <w:bookmarkEnd w:id="0"/>
      <w:r>
        <w:rPr>
          <w:rFonts w:hint="eastAsia" w:ascii="宋体" w:hAnsi="宋体" w:eastAsia="宋体" w:cs="宋体"/>
          <w:sz w:val="28"/>
          <w:szCs w:val="28"/>
          <w:highlight w:val="none"/>
        </w:rPr>
        <w:t>跨境业务人民币结算付款说明</w:t>
      </w:r>
    </w:p>
    <w:p>
      <w:pPr>
        <w:jc w:val="center"/>
        <w:rPr>
          <w:rFonts w:ascii="宋体" w:hAnsi="宋体" w:eastAsia="宋体" w:cs="Times New Roman"/>
          <w:kern w:val="0"/>
          <w:sz w:val="24"/>
          <w:highlight w:val="none"/>
        </w:rPr>
      </w:pPr>
    </w:p>
    <w:p>
      <w:pPr>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付款日期：    年   月   日</w:t>
      </w:r>
      <w:r>
        <w:rPr>
          <w:rFonts w:hint="eastAsia" w:ascii="宋体" w:hAnsi="宋体" w:eastAsia="宋体" w:cs="宋体"/>
          <w:sz w:val="21"/>
          <w:szCs w:val="21"/>
          <w:highlight w:val="none"/>
        </w:rPr>
        <w:t xml:space="preserve">                                                                                            </w:t>
      </w:r>
    </w:p>
    <w:tbl>
      <w:tblPr>
        <w:tblStyle w:val="3"/>
        <w:tblW w:w="10349" w:type="dxa"/>
        <w:tblInd w:w="-885" w:type="dxa"/>
        <w:tblLayout w:type="fixed"/>
        <w:tblCellMar>
          <w:top w:w="0" w:type="dxa"/>
          <w:left w:w="108" w:type="dxa"/>
          <w:bottom w:w="0" w:type="dxa"/>
          <w:right w:w="108" w:type="dxa"/>
        </w:tblCellMar>
      </w:tblPr>
      <w:tblGrid>
        <w:gridCol w:w="1277"/>
        <w:gridCol w:w="2410"/>
        <w:gridCol w:w="2551"/>
        <w:gridCol w:w="709"/>
        <w:gridCol w:w="3402"/>
      </w:tblGrid>
      <w:tr>
        <w:tblPrEx>
          <w:tblLayout w:type="fixed"/>
          <w:tblCellMar>
            <w:top w:w="0" w:type="dxa"/>
            <w:left w:w="108" w:type="dxa"/>
            <w:bottom w:w="0" w:type="dxa"/>
            <w:right w:w="108" w:type="dxa"/>
          </w:tblCellMar>
        </w:tblPrEx>
        <w:trPr>
          <w:trHeight w:val="680" w:hRule="atLeast"/>
        </w:trPr>
        <w:tc>
          <w:tcPr>
            <w:tcW w:w="103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付款企业名称：</w:t>
            </w:r>
            <w:r>
              <w:rPr>
                <w:rFonts w:hint="eastAsia" w:ascii="宋体" w:hAnsi="宋体" w:eastAsia="宋体" w:cs="宋体"/>
                <w:kern w:val="0"/>
                <w:sz w:val="21"/>
                <w:szCs w:val="21"/>
                <w:highlight w:val="none"/>
              </w:rPr>
              <w:t xml:space="preserve">                 </w:t>
            </w:r>
            <w:r>
              <w:rPr>
                <w:rFonts w:hint="eastAsia" w:ascii="宋体" w:hAnsi="宋体" w:eastAsia="宋体" w:cs="宋体"/>
                <w:sz w:val="21"/>
                <w:szCs w:val="21"/>
                <w:highlight w:val="none"/>
              </w:rPr>
              <w:t xml:space="preserve">  </w:t>
            </w:r>
          </w:p>
          <w:p>
            <w:pPr>
              <w:widowControl/>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组织机构代码（身份证号码）：</w:t>
            </w:r>
            <w:r>
              <w:rPr>
                <w:rFonts w:hint="eastAsia" w:ascii="宋体" w:hAnsi="宋体" w:eastAsia="宋体" w:cs="宋体"/>
                <w:kern w:val="0"/>
                <w:sz w:val="21"/>
                <w:szCs w:val="21"/>
                <w:highlight w:val="none"/>
              </w:rPr>
              <w:t xml:space="preserve">                      </w:t>
            </w:r>
          </w:p>
        </w:tc>
      </w:tr>
      <w:tr>
        <w:tblPrEx>
          <w:tblLayout w:type="fixed"/>
          <w:tblCellMar>
            <w:top w:w="0" w:type="dxa"/>
            <w:left w:w="108" w:type="dxa"/>
            <w:bottom w:w="0" w:type="dxa"/>
            <w:right w:w="108" w:type="dxa"/>
          </w:tblCellMar>
        </w:tblPrEx>
        <w:trPr>
          <w:trHeight w:val="340" w:hRule="atLeast"/>
        </w:trPr>
        <w:tc>
          <w:tcPr>
            <w:tcW w:w="103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1"/>
                <w:szCs w:val="21"/>
                <w:highlight w:val="none"/>
                <w:u w:val="single"/>
              </w:rPr>
            </w:pPr>
            <w:r>
              <w:rPr>
                <w:rFonts w:hint="eastAsia" w:ascii="宋体" w:hAnsi="宋体" w:eastAsia="宋体" w:cs="宋体"/>
                <w:kern w:val="0"/>
                <w:sz w:val="21"/>
                <w:szCs w:val="21"/>
                <w:highlight w:val="none"/>
              </w:rPr>
              <w:t>付款金额合计：           元</w:t>
            </w:r>
          </w:p>
        </w:tc>
      </w:tr>
      <w:tr>
        <w:tblPrEx>
          <w:tblLayout w:type="fixed"/>
          <w:tblCellMar>
            <w:top w:w="0" w:type="dxa"/>
            <w:left w:w="108" w:type="dxa"/>
            <w:bottom w:w="0" w:type="dxa"/>
            <w:right w:w="108" w:type="dxa"/>
          </w:tblCellMar>
        </w:tblPrEx>
        <w:trPr>
          <w:trHeight w:val="340" w:hRule="atLeast"/>
        </w:trPr>
        <w:tc>
          <w:tcPr>
            <w:tcW w:w="10349"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货物贸易金额：           元</w:t>
            </w:r>
          </w:p>
        </w:tc>
      </w:tr>
      <w:tr>
        <w:tblPrEx>
          <w:tblLayout w:type="fixed"/>
          <w:tblCellMar>
            <w:top w:w="0" w:type="dxa"/>
            <w:left w:w="108" w:type="dxa"/>
            <w:bottom w:w="0" w:type="dxa"/>
            <w:right w:w="108" w:type="dxa"/>
          </w:tblCellMar>
        </w:tblPrEx>
        <w:trPr>
          <w:trHeight w:val="340" w:hRule="atLeast"/>
        </w:trPr>
        <w:tc>
          <w:tcPr>
            <w:tcW w:w="3687"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预付货款项下：           元</w:t>
            </w:r>
          </w:p>
        </w:tc>
        <w:tc>
          <w:tcPr>
            <w:tcW w:w="25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占合同金额比例：   %</w:t>
            </w:r>
          </w:p>
        </w:tc>
        <w:tc>
          <w:tcPr>
            <w:tcW w:w="411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预计        天后报关（结账期）</w:t>
            </w:r>
          </w:p>
        </w:tc>
      </w:tr>
      <w:tr>
        <w:tblPrEx>
          <w:tblLayout w:type="fixed"/>
          <w:tblCellMar>
            <w:top w:w="0" w:type="dxa"/>
            <w:left w:w="108" w:type="dxa"/>
            <w:bottom w:w="0" w:type="dxa"/>
            <w:right w:w="108" w:type="dxa"/>
          </w:tblCellMar>
        </w:tblPrEx>
        <w:trPr>
          <w:trHeight w:val="680" w:hRule="atLeast"/>
        </w:trPr>
        <w:tc>
          <w:tcPr>
            <w:tcW w:w="1277" w:type="dxa"/>
            <w:vMerge w:val="restart"/>
            <w:tcBorders>
              <w:top w:val="single" w:color="auto" w:sz="4" w:space="0"/>
              <w:left w:val="single" w:color="auto" w:sz="4" w:space="0"/>
              <w:right w:val="single" w:color="auto" w:sz="4" w:space="0"/>
            </w:tcBorders>
            <w:textDirection w:val="tbRlV"/>
            <w:vAlign w:val="center"/>
          </w:tcPr>
          <w:p>
            <w:pPr>
              <w:widowControl/>
              <w:ind w:left="113" w:right="113"/>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已 报 关</w:t>
            </w:r>
          </w:p>
        </w:tc>
        <w:tc>
          <w:tcPr>
            <w:tcW w:w="9072"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报关经营单位名称：                   </w:t>
            </w:r>
          </w:p>
          <w:p>
            <w:pPr>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组织机构代码： </w:t>
            </w:r>
          </w:p>
        </w:tc>
      </w:tr>
      <w:tr>
        <w:tblPrEx>
          <w:tblLayout w:type="fixed"/>
          <w:tblCellMar>
            <w:top w:w="0" w:type="dxa"/>
            <w:left w:w="108" w:type="dxa"/>
            <w:bottom w:w="0" w:type="dxa"/>
            <w:right w:w="108" w:type="dxa"/>
          </w:tblCellMar>
        </w:tblPrEx>
        <w:trPr>
          <w:trHeight w:val="290" w:hRule="atLeast"/>
        </w:trPr>
        <w:tc>
          <w:tcPr>
            <w:tcW w:w="1277" w:type="dxa"/>
            <w:vMerge w:val="continue"/>
            <w:tcBorders>
              <w:left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2410" w:type="dxa"/>
            <w:vMerge w:val="restart"/>
            <w:tcBorders>
              <w:top w:val="single" w:color="auto" w:sz="4" w:space="0"/>
              <w:left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人民币报关□</w:t>
            </w:r>
          </w:p>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外币报关□                                    </w:t>
            </w:r>
          </w:p>
        </w:tc>
        <w:tc>
          <w:tcPr>
            <w:tcW w:w="3260"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一般贸易：      元</w:t>
            </w:r>
          </w:p>
        </w:tc>
        <w:tc>
          <w:tcPr>
            <w:tcW w:w="3402" w:type="dxa"/>
            <w:tcBorders>
              <w:top w:val="single" w:color="auto" w:sz="4" w:space="0"/>
              <w:left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进料加工：      元</w:t>
            </w:r>
          </w:p>
        </w:tc>
      </w:tr>
      <w:tr>
        <w:tblPrEx>
          <w:tblLayout w:type="fixed"/>
          <w:tblCellMar>
            <w:top w:w="0" w:type="dxa"/>
            <w:left w:w="108" w:type="dxa"/>
            <w:bottom w:w="0" w:type="dxa"/>
            <w:right w:w="108" w:type="dxa"/>
          </w:tblCellMar>
        </w:tblPrEx>
        <w:trPr>
          <w:trHeight w:val="253" w:hRule="atLeast"/>
        </w:trPr>
        <w:tc>
          <w:tcPr>
            <w:tcW w:w="127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p>
        </w:tc>
        <w:tc>
          <w:tcPr>
            <w:tcW w:w="2410" w:type="dxa"/>
            <w:vMerge w:val="continue"/>
            <w:tcBorders>
              <w:left w:val="single" w:color="auto" w:sz="4" w:space="0"/>
              <w:right w:val="single" w:color="auto" w:sz="4" w:space="0"/>
            </w:tcBorders>
            <w:vAlign w:val="center"/>
          </w:tcPr>
          <w:p>
            <w:pPr>
              <w:rPr>
                <w:rFonts w:hint="eastAsia" w:ascii="宋体" w:hAnsi="宋体" w:eastAsia="宋体" w:cs="宋体"/>
                <w:kern w:val="0"/>
                <w:sz w:val="21"/>
                <w:szCs w:val="21"/>
                <w:highlight w:val="none"/>
              </w:rPr>
            </w:pPr>
          </w:p>
        </w:tc>
        <w:tc>
          <w:tcPr>
            <w:tcW w:w="3260"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其他贸易：      元</w:t>
            </w:r>
          </w:p>
        </w:tc>
        <w:tc>
          <w:tcPr>
            <w:tcW w:w="3402" w:type="dxa"/>
            <w:tcBorders>
              <w:top w:val="single" w:color="auto" w:sz="4" w:space="0"/>
              <w:left w:val="single" w:color="auto" w:sz="4" w:space="0"/>
              <w:right w:val="single" w:color="auto" w:sz="4" w:space="0"/>
            </w:tcBorders>
            <w:vAlign w:val="center"/>
          </w:tcPr>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边境贸易：      元</w:t>
            </w:r>
          </w:p>
        </w:tc>
      </w:tr>
      <w:tr>
        <w:tblPrEx>
          <w:tblLayout w:type="fixed"/>
          <w:tblCellMar>
            <w:top w:w="0" w:type="dxa"/>
            <w:left w:w="108" w:type="dxa"/>
            <w:bottom w:w="0" w:type="dxa"/>
            <w:right w:w="108" w:type="dxa"/>
          </w:tblCellMar>
        </w:tblPrEx>
        <w:trPr>
          <w:trHeight w:val="340" w:hRule="atLeast"/>
        </w:trPr>
        <w:tc>
          <w:tcPr>
            <w:tcW w:w="3687" w:type="dxa"/>
            <w:gridSpan w:val="2"/>
            <w:vMerge w:val="restart"/>
            <w:tcBorders>
              <w:top w:val="single" w:color="auto" w:sz="4" w:space="0"/>
              <w:left w:val="single" w:color="auto" w:sz="4" w:space="0"/>
              <w:right w:val="single" w:color="auto" w:sz="4" w:space="0"/>
            </w:tcBorders>
            <w:vAlign w:val="center"/>
          </w:tcPr>
          <w:p>
            <w:pPr>
              <w:widowControl/>
              <w:ind w:firstLine="105" w:firstLineChars="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无货物报关</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海关特殊监管区域及保税监管场所进出境物流货物：      元</w:t>
            </w:r>
          </w:p>
        </w:tc>
      </w:tr>
      <w:tr>
        <w:tblPrEx>
          <w:tblLayout w:type="fixed"/>
          <w:tblCellMar>
            <w:top w:w="0" w:type="dxa"/>
            <w:left w:w="108" w:type="dxa"/>
            <w:bottom w:w="0" w:type="dxa"/>
            <w:right w:w="108" w:type="dxa"/>
          </w:tblCellMar>
        </w:tblPrEx>
        <w:trPr>
          <w:trHeight w:val="337" w:hRule="atLeast"/>
        </w:trPr>
        <w:tc>
          <w:tcPr>
            <w:tcW w:w="3687" w:type="dxa"/>
            <w:gridSpan w:val="2"/>
            <w:vMerge w:val="continue"/>
            <w:tcBorders>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离岸转手买卖：     元</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     元</w:t>
            </w:r>
          </w:p>
        </w:tc>
      </w:tr>
      <w:tr>
        <w:tblPrEx>
          <w:tblLayout w:type="fixed"/>
          <w:tblCellMar>
            <w:top w:w="0" w:type="dxa"/>
            <w:left w:w="108" w:type="dxa"/>
            <w:bottom w:w="0" w:type="dxa"/>
            <w:right w:w="108" w:type="dxa"/>
          </w:tblCellMar>
        </w:tblPrEx>
        <w:trPr>
          <w:trHeight w:val="340" w:hRule="atLeast"/>
        </w:trPr>
        <w:tc>
          <w:tcPr>
            <w:tcW w:w="3687"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服务贸易：       元           </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3687" w:type="dxa"/>
            <w:gridSpan w:val="2"/>
            <w:vMerge w:val="restart"/>
            <w:tcBorders>
              <w:top w:val="single" w:color="auto" w:sz="4" w:space="0"/>
              <w:left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投资收益：       元</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3687" w:type="dxa"/>
            <w:gridSpan w:val="2"/>
            <w:vMerge w:val="continue"/>
            <w:tcBorders>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批准证书号(仅汇出直接收益时填报）：</w:t>
            </w:r>
          </w:p>
        </w:tc>
      </w:tr>
      <w:tr>
        <w:tblPrEx>
          <w:tblLayout w:type="fixed"/>
          <w:tblCellMar>
            <w:top w:w="0" w:type="dxa"/>
            <w:left w:w="108" w:type="dxa"/>
            <w:bottom w:w="0" w:type="dxa"/>
            <w:right w:w="108" w:type="dxa"/>
          </w:tblCellMar>
        </w:tblPrEx>
        <w:trPr>
          <w:trHeight w:val="340" w:hRule="atLeast"/>
        </w:trPr>
        <w:tc>
          <w:tcPr>
            <w:tcW w:w="3687"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经常转移：       元           </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3687"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资本账户：       元           </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3687"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直接投资：       元           </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国际收支编码：批准证书号:</w:t>
            </w:r>
          </w:p>
        </w:tc>
      </w:tr>
      <w:tr>
        <w:tblPrEx>
          <w:tblLayout w:type="fixed"/>
          <w:tblCellMar>
            <w:top w:w="0" w:type="dxa"/>
            <w:left w:w="108" w:type="dxa"/>
            <w:bottom w:w="0" w:type="dxa"/>
            <w:right w:w="108" w:type="dxa"/>
          </w:tblCellMar>
        </w:tblPrEx>
        <w:trPr>
          <w:trHeight w:val="340" w:hRule="atLeast"/>
        </w:trPr>
        <w:tc>
          <w:tcPr>
            <w:tcW w:w="3687"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证券投资：       元           </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3687" w:type="dxa"/>
            <w:gridSpan w:val="2"/>
            <w:tcBorders>
              <w:top w:val="single" w:color="auto" w:sz="4" w:space="0"/>
              <w:left w:val="single" w:color="auto" w:sz="4" w:space="0"/>
              <w:bottom w:val="single" w:color="auto" w:sz="4" w:space="0"/>
              <w:right w:val="single" w:color="auto" w:sz="4" w:space="0"/>
            </w:tcBorders>
            <w:vAlign w:val="center"/>
          </w:tcPr>
          <w:p>
            <w:pPr>
              <w:widowControl/>
              <w:ind w:firstLine="102" w:firstLineChars="4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其他投资：       元           </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国际收支编码：</w:t>
            </w:r>
          </w:p>
        </w:tc>
      </w:tr>
      <w:tr>
        <w:tblPrEx>
          <w:tblLayout w:type="fixed"/>
          <w:tblCellMar>
            <w:top w:w="0" w:type="dxa"/>
            <w:left w:w="108" w:type="dxa"/>
            <w:bottom w:w="0" w:type="dxa"/>
            <w:right w:w="108" w:type="dxa"/>
          </w:tblCellMar>
        </w:tblPrEx>
        <w:trPr>
          <w:trHeight w:val="340" w:hRule="atLeast"/>
        </w:trPr>
        <w:tc>
          <w:tcPr>
            <w:tcW w:w="10349" w:type="dxa"/>
            <w:gridSpan w:val="5"/>
            <w:tcBorders>
              <w:top w:val="single" w:color="auto" w:sz="4" w:space="0"/>
              <w:left w:val="single" w:color="auto" w:sz="4" w:space="0"/>
              <w:bottom w:val="nil"/>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r>
      <w:tr>
        <w:tblPrEx>
          <w:tblLayout w:type="fixed"/>
          <w:tblCellMar>
            <w:top w:w="0" w:type="dxa"/>
            <w:left w:w="108" w:type="dxa"/>
            <w:bottom w:w="0" w:type="dxa"/>
            <w:right w:w="108" w:type="dxa"/>
          </w:tblCellMar>
        </w:tblPrEx>
        <w:trPr>
          <w:trHeight w:val="680" w:hRule="atLeast"/>
        </w:trPr>
        <w:tc>
          <w:tcPr>
            <w:tcW w:w="10349"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本企业申明：本表所填内容真实无误。如有虚假，视为违反跨境人民币结算管理规定，将承担相应后果。</w:t>
            </w:r>
          </w:p>
        </w:tc>
      </w:tr>
    </w:tbl>
    <w:p>
      <w:pPr>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单位公章或财务专用章        填报人：         联系电话：                                                                                         </w:t>
      </w:r>
    </w:p>
    <w:p>
      <w:pPr>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填表说明： </w:t>
      </w:r>
    </w:p>
    <w:p>
      <w:pPr>
        <w:ind w:left="-709" w:firstLine="735" w:firstLineChars="3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一般贸易：指海关监管贸易方式为“0110”的贸易类型。</w:t>
      </w:r>
    </w:p>
    <w:p>
      <w:pPr>
        <w:ind w:left="-2" w:leftChars="-1"/>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进料加工贸易：指海关监管贸易方式为“0615进料对口”、“0654进料深加工”、“0664进料料件复出”、“0700进料料件退换”、“0715进料非对口”、“0864进料边角料复出”。</w:t>
      </w:r>
    </w:p>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边境贸易：指根据国家相关规定在指定口岸与毗邻国家之间开展的货物贸易。</w:t>
      </w:r>
    </w:p>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其他贸易：不在上列范围内的海关监管贸易方式。</w:t>
      </w:r>
    </w:p>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无货物报关：包括海关特殊监管区域及保税监管场所进出境物流货物、离岸转手买卖，以及其他未达到海关规定申报金额的邮寄进口或从境外付款但境内交货等方式。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D3F49"/>
    <w:rsid w:val="2EFE2D03"/>
    <w:rsid w:val="55DD3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Arial"/>
      <w:kern w:val="2"/>
      <w:sz w:val="21"/>
      <w:szCs w:val="20"/>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2024-05-20T06:57:00Z</dcterms:created>
  <dc:creator>Administrator</dc:creator>
  <cp:lastModifiedBy>胥凌燕</cp:lastModifiedBy>
  <dcterms:modified xsi:type="dcterms:W3CDTF">2024-05-20T07:10:31Z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